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5E" w:rsidRPr="007A4A67" w:rsidRDefault="00184A5E" w:rsidP="00184A5E">
      <w:pPr>
        <w:jc w:val="center"/>
        <w:rPr>
          <w:rFonts w:asciiTheme="minorBidi" w:hAnsiTheme="minorBidi"/>
          <w:b/>
          <w:bCs/>
          <w:sz w:val="28"/>
          <w:szCs w:val="28"/>
          <w:rtl/>
          <w:lang w:bidi="ar-IQ"/>
        </w:rPr>
      </w:pPr>
      <w:r w:rsidRPr="007A4A67">
        <w:rPr>
          <w:rFonts w:asciiTheme="minorBidi" w:hAnsiTheme="minorBidi"/>
          <w:b/>
          <w:bCs/>
          <w:sz w:val="32"/>
          <w:szCs w:val="32"/>
          <w:rtl/>
          <w:lang w:bidi="ar-IQ"/>
        </w:rPr>
        <w:t>المحاضرة العاشرة</w:t>
      </w:r>
    </w:p>
    <w:p w:rsidR="00184A5E" w:rsidRPr="007A4A67" w:rsidRDefault="00184A5E" w:rsidP="00184A5E">
      <w:pPr>
        <w:rPr>
          <w:rFonts w:asciiTheme="minorBidi" w:hAnsiTheme="minorBidi"/>
          <w:b/>
          <w:bCs/>
          <w:sz w:val="28"/>
          <w:szCs w:val="28"/>
          <w:rtl/>
          <w:lang w:bidi="ar-IQ"/>
        </w:rPr>
      </w:pPr>
      <w:r w:rsidRPr="007A4A67">
        <w:rPr>
          <w:rFonts w:asciiTheme="minorBidi" w:hAnsiTheme="minorBidi"/>
          <w:b/>
          <w:bCs/>
          <w:sz w:val="28"/>
          <w:szCs w:val="28"/>
          <w:rtl/>
          <w:lang w:bidi="ar-IQ"/>
        </w:rPr>
        <w:t xml:space="preserve">ثالثاً : </w:t>
      </w:r>
      <w:bookmarkStart w:id="0" w:name="_GoBack"/>
      <w:r w:rsidRPr="007A4A67">
        <w:rPr>
          <w:rFonts w:asciiTheme="minorBidi" w:hAnsiTheme="minorBidi"/>
          <w:b/>
          <w:bCs/>
          <w:sz w:val="28"/>
          <w:szCs w:val="28"/>
          <w:rtl/>
          <w:lang w:bidi="ar-IQ"/>
        </w:rPr>
        <w:t xml:space="preserve">مشكلة اثبات الجنسية  </w:t>
      </w:r>
      <w:bookmarkEnd w:id="0"/>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طالما إن الجنسية تحدد المركز القانوني للفرد في الدولة وكذلك المجتمع الدولي باعتبارها رابطة قانونية وسياسية وروحية بينه  و بين الدولة التي ينتمي اليها ، فلا بد  له من إثبات جنسيته التي يحملها ، ولذلك فان إثبات الجنسية يعني التزام الفرد بإقامة الدليل على ثبوت تمتعه بالجنسية او نفيها عنه طبقا لأحكام قانون الجنسية بإحدى وسائل الاثبات المحددة قانونا ، دون المسائل الاجرائية التي يسري عليها قانون المحكمة المرفوع أمامها النزاع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وإقامة الدليل في إثبات الجنسية أو نفيها تميزت في تنظيم أحكامه بعض التشريعات منها قانون الجنسية الكويتي رقم (15) لسنة 1959 ، وقانون الجنسية المغربي لسنة 1958 ، وكذلك التونسي لسنة 1945  لذلك يمكن إثبات الجنسية او نفيها أمام الادارة بوصف الجنسية من أعمال السيادة التي ليس للقضاء حق الفصل فيها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وكان هذا الاتجاه قبل عام 2006 للمشرع العراقي من خلال قرار مجلس قيادة الثورة المنحل رقم ( 413 ) لسنة 1975 وأُلغي هذا القرار بموجب المادة (11/ ز) من قانون إدارة الدولة للمرحلة الانتقالية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3"/>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الذي تم بموجبه منع المحاكم العراقية من النظر في الدعاوى الناشئة في تطبيق أحكام قانون الجنسية العراقية ، الا ان المشرع العراقي عدل عن ذلك بعد عام 2003 وتحديداً في قانون الجنسية العراقي النافذ رقم 26 لسنة 2006 حيث جاء باتجاه جديد أعطى من خلاله للمحاكم العراقية صلاحية الفصل في المنازعات الناشئة عن الجنسية وأجاز الطعن بقرارات محكمة القضاء الاداري لدى المحكمة الاتحادية العليا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4"/>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وقد كرس هذا الاتجاه الدستور العراقي لعام 2005 بحسب المادة ( 18 / 6 ) التي نصت على " تنظم أحكام الجنسية بقانون وينظر في الدعاوى الناشئة عنها من قبل المحاكم المختصة "  ، وحظر تضمين أي قانون تحصين أي قرار من الطعن فيه أمام القضاء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5"/>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بحيث الغي التشريع السابق الذي يمنع المحاكم من النظر فيها ويجوز الاعتراض فقط على قرارات وزير الداخلية لدى رئيس الجمهورية وتكون قراراته فيها قطعية ، الا انه لم ينظم أحكام إثبات الجنسية في القانون السابق و النافذ ، مما يتطلب الرجوع للقواعد العامة التي تنظم أحكام الاثبات بشكل عام، وتحديد الاحكام التي نص عليها قانون الاثبات العراقي رقم (107) لسنة 1979 ، لمعرفة محل الاثبات ومن يقع عليه عبء الاثبات في موضوع الجنسية على الرغم من انها قواعد قاصرة عن استيعاب أحكام إثبات الجنسية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6"/>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في حين ان أغلب التشريعات العربية نظمت أحكام إثبات الجنسية كما أشرنا سلفا ، بحيث نجد في قانون الجنسية المصري رقم (26) لسنة 1975 ان عبء اثبات الجنسية او نفيها يقع على عاتق الشخص المتنازع في جنسيته في حالتي إثباتها  أو نفيها وإثبات الصفة الاجنبية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7"/>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وتجدر الاشارة بأن محل الاثبات في الجنسية  </w:t>
      </w:r>
      <w:r w:rsidRPr="007A4A67">
        <w:rPr>
          <w:rFonts w:asciiTheme="minorBidi" w:hAnsiTheme="minorBidi"/>
          <w:sz w:val="28"/>
          <w:szCs w:val="28"/>
          <w:rtl/>
          <w:lang w:bidi="ar-IQ"/>
        </w:rPr>
        <w:lastRenderedPageBreak/>
        <w:t xml:space="preserve">هو الامر الذي يجب على المدعي إثباته كي يحصل على حقه في ثبوت جنسية وطنية له او نفيها عنه للتخلص عن الالتزامات التي تفرض عليه بموجب الجنسية ، ومحل الاثبات في الجنسية كما هو في الحق الشخصي او العيني يتم تحديده من خلال عنصرين هما (عنصر الواقع) كونه يمثل مصدر الحق المدعي به و(عنصر القانون) وهو القاعدة القانونية التي تقر هذا الحق ، ومحل الاثبات في الجنسية يرد على مصدر نشوء الحق فيها او زواله اي يرد على الواقعة التي يرتب عليها القانون أثراً بوصفها مصدرا لنشوء الحق ، والكشف عن هذه الواقعة القانونية يكون بالرجوع للقانون الواجب التطبيق على اثبات الجنسية ، والواقعة التي يقدمها المدعي للإثبات تتعدد بتعدد أسباب التمتع بالجنسية وفقدها واستردادها ، فاذا كانت تلك الجنسية مبينة على حق الدم من ناحية الاب أم من ناحية  الام  فإن محل الاثبات ينصب على واقعة (الميلاد) من أب وطني أم  من أًم  وطنية ، أما اذا كانت الجنسية الاصلية مبنية على حق الاقليم كما هو الحال  في الجنسية التي تثبت لمجهول الابوين او اللقيط فإن محل الاثبات هو واقعة الميلاد على اقليم الدولة ، ويكون محل الاثبات بشأن فقد الجنسية او اسقاطها او استردادها هو الواقعة القانونية المتمثلة (بالقرار) الذي سحبت بموجبه الجنسية عن الشخص او ، وهكذا بالنسبة لمحل الاثبات في حالة استرداد الجنسية ، لذلك فإن محل الاثبات ينصب على الصفة الوطنية كما ينصب على الصفة الاجنبية ، اي يكون محل الاثبات في الحالتين هو إقامة الدليل في الواقعة القانونية التي تكسب الفرد الجنسية او تجرده منها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8"/>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طرق إثبات الجنسية فهناك طريقان هما ما يلي</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9"/>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1ـ الطريق المباشر : هذا الطريق يصلح لإثبات الجنسية المكتسبة ، حيث يكون الدليل هو توافر شروط منح الجنسية من خلال اثبات إقامة الشخص للمدة المطلوبة لمنح الجنسية وحصوله على وثيقة الاقامة او إثبات زواج الاجنبية من وطني للحصول على جنسية زوجها من خلال تقديم وثيقة الزواج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2ـ الطريق غير المباشر : هذا الطريق يصلح لإثبات الجنسية الاصلية من خلال اثبات الاساس الذي فرضت عليه ، فحينما تفرض على أساس حق الدم فعلى الشخص ان يثبت جنسيته من خلال إثبات جنسية الاصول التي انحدر منها وهذا يثبت بشكل غير مباشر جنسية الشخص ، وهذا الطريق يثير كثير من الصعوبات في اثبات الجنسية ، لذلك يتوجب على المدعي بالجنسية الوطنية ان يثبت بأن والده وطني  ووالد والده كذلك نزولا مع تسلسل الاجيال السالفة ، وهذا الامر ليس سهلا ويصبح من الصعب على المدعي إثباته كلما تقدم الزمان مما </w:t>
      </w:r>
      <w:proofErr w:type="spellStart"/>
      <w:r w:rsidRPr="007A4A67">
        <w:rPr>
          <w:rFonts w:asciiTheme="minorBidi" w:hAnsiTheme="minorBidi"/>
          <w:sz w:val="28"/>
          <w:szCs w:val="28"/>
          <w:rtl/>
          <w:lang w:bidi="ar-IQ"/>
        </w:rPr>
        <w:t>دعى</w:t>
      </w:r>
      <w:proofErr w:type="spellEnd"/>
      <w:r w:rsidRPr="007A4A67">
        <w:rPr>
          <w:rFonts w:asciiTheme="minorBidi" w:hAnsiTheme="minorBidi"/>
          <w:sz w:val="28"/>
          <w:szCs w:val="28"/>
          <w:rtl/>
          <w:lang w:bidi="ar-IQ"/>
        </w:rPr>
        <w:t xml:space="preserve"> بعض القوانين الوضعية الى النص صراحة على قرينة (الجنسية الظاهرة) أو(الحالة الظاهرة) أي ظهور الشخص في تلك الحالة بمظهر وطني بحيث تعتبر الحالة الظاهرة قرينة قانونية للشخص المدعي ثبوت الجنسية له ، وهذه الحالة أشار لها المشرع الفرنسي بحسب المادة (143) من قانون الجنسية الفرنسي ، واخذت بها أغلب التشريعات العربية  ومنها المشرع المصري ، حيث اعتمد القضاء المصري الجنسية الظاهرة (حيازة الحالة) وسيلة من وسائل إثبات الجنسية المصرية وجعل منها قرينة قانونية يؤخذ بها لإثبات الجنسية المبنية على اساس حق الدم وحق الاقليم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0"/>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وقد أجمع شراح القانون </w:t>
      </w:r>
      <w:r w:rsidRPr="007A4A67">
        <w:rPr>
          <w:rFonts w:asciiTheme="minorBidi" w:hAnsiTheme="minorBidi"/>
          <w:sz w:val="28"/>
          <w:szCs w:val="28"/>
          <w:rtl/>
          <w:lang w:bidi="ar-IQ"/>
        </w:rPr>
        <w:lastRenderedPageBreak/>
        <w:t xml:space="preserve">الدولي الخاص على ذلك وقالوا ان عناصر الحالة ثلاثة تحدث معا فعلها ، ولا يحدث الواحد منها اثراً وهذه العناصر هي (الاسم والشهرة والمعاملة)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وفي ضوء ما تقدم تبين لنا بأنه يمكن إثبات الجنسية العراقية للتمتع بالحقوق و الامتيازات التي توفرها هذه الجنسية ومنها حق التوظيف في أحد دوائر الدولة أو حق التملك او الانتخاب او الترشيح وغيرها من الحقوق الأخرى ، كذلك يمكن إثبات نفيها للاستفادة من الحماية الدبلوماسية التي توفرها له الدولة التي يدعي إنه منسوب اليها والتخلص من بعض الالتزامات كما اسلفنا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أدلة الاثبات المعتمدة في إثبات الجنسية ونفيها فهي الادلة الكتابية والقرائن وبعض التشريعات تأخذ بالشهادة كما اوردناه كونها ادلة موضوعية محايدة لموضوع اثبات الجنسية و نفيها كونها رابطة قانونية والدولة هي التي تنظم احكام هذه الرابطة لتحديد المركز القانوني للفرد ، أما الادلة الاخرى كالإقرار واليمين والاستجواب والمعاينة والخبرة فهي أدلة شخصية منحازة لا يجوز ان يصنع الانسان دليلا لنفسه ، لذلك تعتبر أدلة مستبعدة في إثبات الجنسية ونفيها . والمقصود بالأدلة الكتابية  في إثبات الجنسية هي السندات الرسمية المتمثلة ب(شهادة الجنسية ، القرار الاداري الصادر بشأن الجنسية ، والاحكام القضائية ، وشهادة الميلاد ، وجواز السفر ، ودفتر الخدمة العسكرية ، وهوية الاحوال المدنية ) ، أما المقصود بالقرائن فهي استنباط  أمر غير ثابت أي مجهول من أمر ثابت معلوم على اساس انه يغلب في الواقع ان يتحقق الامر الاول اذا تحقق الامر الثاني ، والقرنية حينما يستنبطها المشرع يطلق عليها (قرنية قانونية) ومثال ذلك تنظيم شهادة الجنسية تعتبر قرينة قانونية على ثبوت الجنسية لمن يدعيها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2"/>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وهي قرينة بسيطة وغير قاطعة لأنه يجوز نقضها بإثبات العكس واذا استنبطها القاضي فأنها تعد قرنية قضائية واشار لذلك قانون الاثبات العراقي في المادة (102 /2) والتي بموجبها أجاز للقاضي استنباط  كل قرنية لم يقررها القانون وذلك في نطاق ما يجوز إثباته بالشهادة ، واخيرا نأمل من المشرع العراقي ان يتبنى تنظيم أحكام إثبات الجنسية بشيء من التفضيل لبيان من يقع عليه عبء الاثبات  وادلة الاثبات المعتمدة  في مسائل الجنسية.</w:t>
      </w:r>
    </w:p>
    <w:p w:rsidR="00184A5E" w:rsidRPr="007A4A67" w:rsidRDefault="00184A5E" w:rsidP="00184A5E">
      <w:pPr>
        <w:jc w:val="both"/>
        <w:rPr>
          <w:rFonts w:asciiTheme="minorBidi" w:hAnsiTheme="minorBidi"/>
          <w:b/>
          <w:bCs/>
          <w:sz w:val="32"/>
          <w:szCs w:val="32"/>
          <w:rtl/>
          <w:lang w:bidi="ar-IQ"/>
        </w:rPr>
      </w:pPr>
      <w:r w:rsidRPr="007A4A67">
        <w:rPr>
          <w:rFonts w:asciiTheme="minorBidi" w:hAnsiTheme="minorBidi"/>
          <w:b/>
          <w:bCs/>
          <w:sz w:val="32"/>
          <w:szCs w:val="32"/>
          <w:rtl/>
          <w:lang w:bidi="ar-IQ"/>
        </w:rPr>
        <w:t xml:space="preserve">رابعاً : مشكلة تحديد الاختصاص القضائي في منازعات الجنسية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من المشاكل التي اثارت اهتمام الفقه والقضاء هو مشكلة تحديد الاختصاص القضائي في منازعات الجنسية ، ويمكن تعريف الاختصاص القضائي بأنه " السلطة او الصلاحية التي منحها المشرع للقضاء او الادارة للنظر في المنازعات الناشئة عن الجنسية بين الدولة و الفرد ، سواء تعلق النزاع بكسب الجنسية او فقدها او ردها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لذلك تحرص أغلب التشريعات لتحديد هذا الاختصاص لأهميته في تحديد المركز القانوني للفرد  وتمييزه عن الاجانب ، كون الجنسية تُعد الضابط الوحيد  لتحديد عنصر السكان في الدولة . الا ان تلك التشريعات اختلفت في منح هذا الاختصاص للنظر في منازعات الجنسية و ذلك على النحو الاتي : ـ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lastRenderedPageBreak/>
        <w:t xml:space="preserve">1ــ بعض التشريعات تعهد هذا الاختصاص الى الجهات الادارية باعتباره عملا من أعمال السيادة ، ومثال ذلك التشريع الكويتي عندما قضت محكمة التمييز الكويتية بقرارها الذي جاء فيه " الامور المتعلقة بالجنسية تعتبر في دولة الكويت من المسائل المتصلة بالسياسة العليا ، و ان ما يصدر عن الحكومة في شأنها من أعمال يعتبر من أعمال السيادة التي تخرج عن نطاق القضاء " وهذا القرار جاء تطبيقا للمادة الاولى من قانون الجنسية الكويتي رقم (20) لسنة 1981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3"/>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2 ــ اغلب التشريعات في الجنسية ذهبت الى رفض الاتجاه  الذي يعد الجنسية من أعمال السيادة ولا يحق للقضاء النظر فيها ، وتطبيقا لذلك قضت محكمة النقض المصرية بقرار الطعن رقم (18) لسنة 18 ق  في 25 / 10 / 1950 الذي جاء فيه " الجنسية المصرية مقررة بحكم القانون متى توافرت شروطها وليس من اطلاقات  الحكومة حتى يصح القول بأن الفصل فيها هو فصل في أمر من الامور المتعلقة بسيادة الدولة ، فاذا نازعت وزارة الداخلية شخصا في جنسيته ، كان له ان يلجأ الى المحاكم لتقضي له بثبوت جنسيته " لذلك الدولة حينما تصدر تشريعا ما لا تنزل عن سيادتها كونه منبعث عنها ويتعين احترامه وتنفيذه ، ومن واجب المحاكم تطبيقه ، و ليس في ذلك مساس بسيادة الدولة ، وكل ما يصدر من الحكومة من قرارات تنفيذية لهذا التشريع يندرج في أعمال الحكومة العادية و لا يعتبر من المتعلقة بالسياسة العليا للدولة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4"/>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وفي ضوء ما تقدم كان لابد لنا من تسليط الضوء على موضوع تحديد الاختصاص القضائي في منازعات الجنسية في القوانين العراقية لمعرفة موقف المشرع العراقي من الاتجاهين اعلاه ومن ثم نتعرض بشيء من الايجاز لبيان حجية الاحكام الصادرة في المنازعات الجنسية وفقاً للآتي : </w:t>
      </w:r>
    </w:p>
    <w:p w:rsidR="00184A5E" w:rsidRPr="007A4A67" w:rsidRDefault="00184A5E" w:rsidP="00184A5E">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اولاً : ـ تحديد الاختصاص القضائي في القانون العراقي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يتطلب تحديد هذا الاختصاص تسليط الضوء على موقف المشرع العراقي في قوانين الجنسية السابقة ومن ثم بيان موقفه في قانون الجنسية النافذ رقم (26) لسنة 2006 ، وعليه فإن موقفه في القوانين السابقة يمكن إيجازه بما يأتي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1 ــ لدى مطالعتنا لقانون الجنسية لقانون الجنسية رقم (42) لسنة 1924 الملغي وهو أول قانون نظم أحكام الجنسية العراقية بعد نفاذ معاهدة لوزان لسنة 1923 ، لم يرد فيه اي نص صريح يثبت بموجبه الاختصاص القضائي للمحاكم العراقية للفصل في منازعات الجنسية ، وكان لوزير الداخلية  سلطة مطلقة في قبول ورفض طلب التجنس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2ـ ايضا لم يرد نص صريح في قانون الجنسية رقم (43 ) لسنة 1963 الملغي لم يتم بموجبه تحديد اختصاص الاختصاص القضائي للنظر في منازعات الجنسية ، وهذا السكوت يفسر بثبوت الاختصاص للمحاكم المدنية في النظر بمنازعات الجنسية والوقوف على وسائل اثباتها استنادا الى ولايته العامة في </w:t>
      </w:r>
      <w:r w:rsidRPr="007A4A67">
        <w:rPr>
          <w:rFonts w:asciiTheme="minorBidi" w:hAnsiTheme="minorBidi"/>
          <w:sz w:val="28"/>
          <w:szCs w:val="28"/>
          <w:rtl/>
          <w:lang w:bidi="ar-IQ"/>
        </w:rPr>
        <w:lastRenderedPageBreak/>
        <w:t xml:space="preserve">الدولة واصدار قرارات ملزمة فيها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5"/>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أو الرجوع للقواعد العامة في حالة عدم وجود نص قانوني كما جاء في المادة (29) من قانون المرافعات المدنية النافذ رقم 68 لسنة 1969 التي نصت على ان " ولاية المحاكم المدنية تسري على جميع الاشخاص الطبيعية و المعنوية بما في ذلك الحكومة ، وتختص بالفصل في كافة المنازعات الا ما استثنى بنص خاص "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6"/>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وهذا يعني ان قضايا ومنازعات الجنسية لا تخرج من ولاية القضاء العامة وتطبيقاً لذلك قضت محكمة التمييز العراقية في قرارها رقم 1948 / حقوقية / 65 الصادرة في 9 / 5 / 1966 الى " ان إعطاء الجنسية العراقية او الامتناع عن منحها او اسقاطها عن العراقي لا يُعد من أعمال السيادة بل هو قرار اداري يخضع لولاية  القضاء " ، الا ان القضاء العراقي  لم يثبت على موقفه هذا  وتراجع عن اصدار هكذا أحكام ولم يقبل النظر فيها واعتبرها من أعمال السيادة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7"/>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وبقي مترددا بين قبول الاختصاص واعتبار منازعات الجنسية ضمن ولايته ، وبين عدم قبوله وظل بهذا الغموض الى ان صدر قرار لمجلس قيادة الثورة الملغي رقم 413 لسنة 1975 الذي مُنع بموجبه القضاء من النظر في دعاوى منازعات الجنسية العراقية ، بحسب التفضيل الذي تم بيانه سلفا ، ووفقا لهذا القرار اصبحت الاحكام المتعلقة بمنازعات الجنسية غير خاضعة لرقابة القضاء باستثناء بعض حالات الاعتراض على قرارات وزير الداخلية  لدى رئيس الجمهورية والتي تعتبر قرارته فيها قطعية  ، وهذا يعني تجريد الافراد من احد الضمانات المهمة للتقاضي ، في حين ان غالبية التشريعات كما اسلفنا اعتبرت منازعات الجنسية ليس من أعمال سيادة الدولة وانما من أعمال الادارة للحكومة ، كونها لا تمس السيادة والجنسية مقررة بحكم القانون الذي يصدر من الدولة لمن تتوافر فيه شروط فرضها او منحها او فقدانها او استردادها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موقف المشرع العراقي بعد صدور قانون الجنسية النافذ رقم 26 لسنة 2006 كان مختلفا عن موقفه في القوانين السابقة والتي منعت المحاكم من النظر في دعاوى منازعات الجنسية ، حيث أعطى للسلطة القضائية بوصفها صاحبة  الاختصاص الاصلي سلطة النظر في دعاوى منازعات الجنسية والفصل في كافة المنازعات المدنية والجزائية ، وسوف نعرض عن ذلك وفق التفصيل الاتي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1ـ بعد عام 2003 وهو عام سقوط النظام العراقي السابق صدر قانون ادارة الدولة العراقية للمرحلة الانتقالية لعام 2004 والغيت جميع النصوص القانونية التي تمنع المحاكم العراقية من النظر في دعاوى الجنسية كما مر بنا في هذه الدراسة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8"/>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lastRenderedPageBreak/>
        <w:t>2 ـ صدر قانون الجنسية العراقي النافذ رقم (26) لسنة 2006 و الذي تضمن بالمواد (19 ، 20، 21 ) سالفة الذكر نصوصا قانونية صريحة تمنح السلطة القضائية في جمهورية العراق صلاحية ممارسة ولايتها القضائية العامة من خلال النظر في منازعات الجنسية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3 ـ وفقا لأحكام قانون الجنسية النافذ تم الغاء القيد المفروض على السلطة القضائية من قبل مجلس قيادة الثورة المنحل بموجب قراره رقم 413 لسنة 1975 ، الذي منع المحاكم العراقية من النظر في دعاوى الجنسية ، واصبحت المحكمة المختصة في نظر تلك الدعاوى هي محكمة ( القضاء الاداري ) ويجوز الطعن بقراراتها  لدى المحكمة الاتحادية ويلغى كل نص يتعارض واحكام هذا القانون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9"/>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4ـ اخضاع سلطة الوزير لرقابة القضاء بعد ان كان يطعن بقرارته أمام  رئيس الجمهورية فقط وتكون قراراته قطعية ، وهذا الاجراء ينسجم مع مضمون المادة  (100) من دستور جمهورية العراق لعام 2005 التي تمنع الحصانة على اي عمل او قرار اداري من الطعن ضمانا لحق التقاضي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5ـ يعتبر القضاء الاداري حديث النشأة في العراق كونه نشأ بموجب القانون رقم (140) لسنة 1977 ، و يختص في نظر النزاعات (مدنية أم ادارية) الخاصة بدوائر القطاع العام  ولا يسمح للأفراد بالتقاضي امامه ، وهذا يعني ان المشرع العراقي قد سحب الاختصاص من المحاكم المدنية التي تعتبر صاحبة الولاية العامة في نظر جميع المنازعات المدنية والتي من ضمنها دعاوى الجنسية ، على الرغم من ان محكمة القضاء الاداري ترتبط اداريا مع وزارة العدل العراقية وهذا يتعارض مع المادة (87) من دستور جمهورية العراق لعام 2005 . التي جعلت السلطة القضائية مستقلة وتتولاها المحاكم على اختلاف انواعها  ودرجاتها وتصدر أحكامها وفقا للقانون ، ولذلك فأن ربط هذه المحكمة بمجلس القضاء الاعلى امر جدير بالتأييد في التشريع العراقي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0"/>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6ـ يتم إقامة دعوى تسمى (دعوى الالغاء) أمام القضاء الاداري لإلغاء القرارات غير المشروعة المتعلقة بالجنسية التي تصدر خلاف ما يقضي به القانون وتسمى (دعوى تجاوز السلطة)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وتجدر الاشارة بأن محكمة القضاء الاداري شكلت بموجب مجلس شورى الدولة رقم (65) لسنة 1979 بحسب المادة ( 7 / 2) من قانون التعديل الثاني رقم (106) لسنة 1989 التي جاء فيها " تشكل محكمة تسمى محكمة القضاء الاداري في مجلس شورى الدولة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وبناءً على ما ورد اعلاه نجد ان المشرع العراقي قد سلك منهجا جديدا في تحديد الاختصاص القضائي للنظر في الدعاوى الناشئة عن الجنسية التي لا تدخل في نطاق أعمال سيادة الدولة وانما من أعمال ادارة الحكومة وجميع قراراتها المتعلقة بمنازعات الجنسية تخضع لرقابة القضاء ، وعلى الرغم من أنه قد اتبع اتجاهاً جديداً في هذا المجال ، لكن لم يتم فصل ارتباط محكمة القضاء الإداري من وزارة العدل ، ويكون ارتباطها بمجلس القضاء الاعلى كما ذكرنا سلفاً .</w:t>
      </w:r>
    </w:p>
    <w:p w:rsidR="00184A5E" w:rsidRPr="007A4A67" w:rsidRDefault="00184A5E" w:rsidP="00184A5E">
      <w:pPr>
        <w:jc w:val="both"/>
        <w:rPr>
          <w:rFonts w:asciiTheme="minorBidi" w:hAnsiTheme="minorBidi"/>
          <w:b/>
          <w:bCs/>
          <w:sz w:val="32"/>
          <w:szCs w:val="32"/>
          <w:rtl/>
          <w:lang w:bidi="ar-IQ"/>
        </w:rPr>
      </w:pPr>
      <w:r w:rsidRPr="007A4A67">
        <w:rPr>
          <w:rFonts w:asciiTheme="minorBidi" w:hAnsiTheme="minorBidi"/>
          <w:b/>
          <w:bCs/>
          <w:sz w:val="32"/>
          <w:szCs w:val="32"/>
          <w:rtl/>
          <w:lang w:bidi="ar-IQ"/>
        </w:rPr>
        <w:lastRenderedPageBreak/>
        <w:t xml:space="preserve">ثانياً : حجية الاحكام الصادرة في منازعات الجنسية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حجية الاحكام تعني قوة الاحكام القضائية التي تصدرها المحاكم القضائية بعد نظر النزاع المعروض أمامها ، وتعد هذه الاحكام قرينة قانونية قاطعة لا يجوز قبول دليل ينقض حجية الاحكام الباتة ، والمشرع العراقي اطلق عليها تسمية (حجية الاحكام التي حازت درجة البتات) والمشرع المصري سماها (حجية الامر المقضي) أما المشرع السوري فأطلق عليها (حجية الاحكام التي حازت الدرجة القطعية ) وهكذا سماها المشرع الاردني ، أما المشرع اللبناني فقد اطلق عليها ب (حجية القضية المحكوم فيها)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2"/>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المشرع العراقي فإنه لم ينظم حجية الاحكام الصادرة في منازعات الجنسية لافي قوانين الجنسية الملغية ولافي قانون الجنسية النافذ ، لذلك فإنها تخضع للقواعد العامة التي تقضي بالحجية المطلقة للأحكام الصادرة في منازعات الجنسية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3"/>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وهذا يعني إن أحكام الجنسية لها حجية مطلقة وليس نسبية بالصفة الوطنية للشخص ولا يمكن إقامة دعوى اخرى لأنكار الصفة الوطنية لنفس السبب الذي اقيمت عليه الدعوى الاولى ، وقد ذهب أغلب التشريعات بهذا الاتجاه ومنها التشريع الفرنسي والسوري والمصري وهذه التشريعات نصت صراحة على الحجية المطلقة للأحكام التي تصدر عن مسائل الجنسية ، وهكذا استقر عليها العمل في القضاء المقارن، ومثال ذلك قررت محكمة النقص المصرية في الطعن رقم (4) لسنة 49 ق (احوال شخصية ) جلسة 28 / 6 / 1983 ، فقد قررت فيه "....الاحكام التي تصدر في مسائل الجنسية تعتبر حجة على الكافة " ، وكذلك قرار لمحكمة بداية بيروت المدنية الصادر بتاريخ 9/ 11/ 1962 ، حيث قررت فيه " ان الاحكام الصادرة في مادة الجنسية تتمتع بالحجية المطلقة اذا كانت الدولة  ممثلة بالدعوى "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4"/>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ولذلك فإن ثبوت الصفة الوطنية على أساس الولادة من أب وطني لا يمكن إقامة دعوى اخرى عليه لإنكار صفته الوطنية على الأساس نفسه . تجدر الاشارة بأن المشرع العراقي في قانون الجنسية النافذ لم يفرض أي عقوبة مالية أو مدنية على من استعمل طرق احتيالية لإثبات الجنسية العراقية وانما يعاقب بسحب الجنسية منه بحسب المدة (15) سالفة الذكر ، في حين ان قانون الجنسية الملغي تضمن عقوبة الغرامة او الحبس لمن يدلي بشهادات او بيانات كاذبة تتعلق بصفقة الوطنية او عن عائلته لإثبات الجنسية العراقية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5"/>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184A5E" w:rsidRPr="007A4A67" w:rsidRDefault="00184A5E" w:rsidP="00184A5E">
      <w:pPr>
        <w:jc w:val="both"/>
        <w:rPr>
          <w:rFonts w:asciiTheme="minorBidi" w:hAnsiTheme="minorBidi"/>
          <w:sz w:val="28"/>
          <w:szCs w:val="28"/>
          <w:rtl/>
          <w:lang w:bidi="ar-IQ"/>
        </w:rPr>
      </w:pPr>
      <w:r w:rsidRPr="007A4A67">
        <w:rPr>
          <w:rFonts w:asciiTheme="minorBidi" w:hAnsiTheme="minorBidi"/>
          <w:sz w:val="28"/>
          <w:szCs w:val="28"/>
          <w:rtl/>
          <w:lang w:bidi="ar-IQ"/>
        </w:rPr>
        <w:t xml:space="preserve">   وفي ضوء ما تقدم يتبين لنا بأن حجية الأحكام القضائية الصادرة بمنازعات الجنسية وفقا لقانون الاثبات العراقي تكون أحكام باتة ومطلقة ولا يجوز قبول أي دليل ينقض حجيتها ، فكان ينبغي على المشرع العراقي أن يُضمن قانون الجنسية النافذ نص قانوني يعتبر فيه جميع الأحكام القضائية التي تصدر في </w:t>
      </w:r>
      <w:r w:rsidRPr="007A4A67">
        <w:rPr>
          <w:rFonts w:asciiTheme="minorBidi" w:hAnsiTheme="minorBidi"/>
          <w:sz w:val="28"/>
          <w:szCs w:val="28"/>
          <w:rtl/>
          <w:lang w:bidi="ar-IQ"/>
        </w:rPr>
        <w:lastRenderedPageBreak/>
        <w:t xml:space="preserve">منازعات الجنسية لها حجة مطلقة على الكافة وتكتسب حجية الشيء المقضي فيه وتنشر في احدى الصحف المحلية للدولة . </w:t>
      </w:r>
    </w:p>
    <w:p w:rsidR="00E13FE3" w:rsidRPr="00E4212A" w:rsidRDefault="00E13FE3" w:rsidP="00E4212A">
      <w:pPr>
        <w:rPr>
          <w:lang w:bidi="ar-IQ"/>
        </w:rPr>
      </w:pPr>
    </w:p>
    <w:sectPr w:rsidR="00E13FE3" w:rsidRPr="00E42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0C" w:rsidRDefault="0080010C" w:rsidP="001857FC">
      <w:pPr>
        <w:spacing w:after="0" w:line="240" w:lineRule="auto"/>
      </w:pPr>
      <w:r>
        <w:separator/>
      </w:r>
    </w:p>
  </w:endnote>
  <w:endnote w:type="continuationSeparator" w:id="0">
    <w:p w:rsidR="0080010C" w:rsidRDefault="0080010C" w:rsidP="0018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نسخ Medium">
    <w:panose1 w:val="00000000000000000000"/>
    <w:charset w:val="00"/>
    <w:family w:val="modern"/>
    <w:notTrueType/>
    <w:pitch w:val="variable"/>
    <w:sig w:usb0="00002003" w:usb1="00000000" w:usb2="00000000" w:usb3="00000000" w:csb0="00000041" w:csb1="00000000"/>
  </w:font>
  <w:font w:name="Al-QuranAlKareem">
    <w:altName w:val="Times New Roman"/>
    <w:charset w:val="00"/>
    <w:family w:val="auto"/>
    <w:pitch w:val="variable"/>
    <w:sig w:usb0="00000000" w:usb1="80000000" w:usb2="00000008" w:usb3="00000000" w:csb0="00000043" w:csb1="00000000"/>
  </w:font>
  <w:font w:name="AlRaiMedia-Black">
    <w:panose1 w:val="00000000000000000000"/>
    <w:charset w:val="00"/>
    <w:family w:val="swiss"/>
    <w:notTrueType/>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0C" w:rsidRDefault="0080010C" w:rsidP="001857FC">
      <w:pPr>
        <w:spacing w:after="0" w:line="240" w:lineRule="auto"/>
      </w:pPr>
      <w:r>
        <w:separator/>
      </w:r>
    </w:p>
  </w:footnote>
  <w:footnote w:type="continuationSeparator" w:id="0">
    <w:p w:rsidR="0080010C" w:rsidRDefault="0080010C" w:rsidP="001857FC">
      <w:pPr>
        <w:spacing w:after="0" w:line="240" w:lineRule="auto"/>
      </w:pPr>
      <w:r>
        <w:continuationSeparator/>
      </w:r>
    </w:p>
  </w:footnote>
  <w:footnote w:id="1">
    <w:p w:rsidR="00184A5E" w:rsidRPr="006715FF" w:rsidRDefault="00184A5E" w:rsidP="00184A5E">
      <w:pPr>
        <w:pStyle w:val="aa"/>
        <w:jc w:val="both"/>
        <w:rPr>
          <w:sz w:val="24"/>
          <w:szCs w:val="24"/>
          <w:lang w:bidi="ar-IQ"/>
        </w:rPr>
      </w:pPr>
      <w:r w:rsidRPr="006715FF">
        <w:rPr>
          <w:rFonts w:hint="cs"/>
          <w:sz w:val="24"/>
          <w:szCs w:val="24"/>
          <w:rtl/>
        </w:rPr>
        <w:t>(</w:t>
      </w:r>
      <w:r w:rsidRPr="006715FF">
        <w:rPr>
          <w:rStyle w:val="ab"/>
          <w:sz w:val="24"/>
          <w:szCs w:val="24"/>
        </w:rPr>
        <w:footnoteRef/>
      </w:r>
      <w:r w:rsidRPr="006715FF">
        <w:rPr>
          <w:rFonts w:hint="cs"/>
          <w:sz w:val="24"/>
          <w:szCs w:val="24"/>
          <w:rtl/>
        </w:rPr>
        <w:t>)</w:t>
      </w:r>
      <w:r w:rsidRPr="006715FF">
        <w:rPr>
          <w:rFonts w:cs="Arial" w:hint="cs"/>
          <w:sz w:val="24"/>
          <w:szCs w:val="24"/>
          <w:rtl/>
          <w:lang w:bidi="ar-IQ"/>
        </w:rPr>
        <w:t xml:space="preserve"> د</w:t>
      </w:r>
      <w:r w:rsidRPr="006715FF">
        <w:rPr>
          <w:rFonts w:cs="Arial"/>
          <w:sz w:val="24"/>
          <w:szCs w:val="24"/>
          <w:rtl/>
          <w:lang w:bidi="ar-IQ"/>
        </w:rPr>
        <w:t xml:space="preserve">. </w:t>
      </w:r>
      <w:r w:rsidRPr="006715FF">
        <w:rPr>
          <w:rFonts w:cs="Arial" w:hint="cs"/>
          <w:sz w:val="24"/>
          <w:szCs w:val="24"/>
          <w:rtl/>
          <w:lang w:bidi="ar-IQ"/>
        </w:rPr>
        <w:t>حسام</w:t>
      </w:r>
      <w:r w:rsidRPr="006715FF">
        <w:rPr>
          <w:rFonts w:cs="Arial"/>
          <w:sz w:val="24"/>
          <w:szCs w:val="24"/>
          <w:rtl/>
          <w:lang w:bidi="ar-IQ"/>
        </w:rPr>
        <w:t xml:space="preserve"> </w:t>
      </w:r>
      <w:r w:rsidRPr="006715FF">
        <w:rPr>
          <w:rFonts w:cs="Arial" w:hint="cs"/>
          <w:sz w:val="24"/>
          <w:szCs w:val="24"/>
          <w:rtl/>
          <w:lang w:bidi="ar-IQ"/>
        </w:rPr>
        <w:t>الدين</w:t>
      </w:r>
      <w:r w:rsidRPr="006715FF">
        <w:rPr>
          <w:rFonts w:cs="Arial"/>
          <w:sz w:val="24"/>
          <w:szCs w:val="24"/>
          <w:rtl/>
          <w:lang w:bidi="ar-IQ"/>
        </w:rPr>
        <w:t xml:space="preserve"> </w:t>
      </w:r>
      <w:r w:rsidRPr="006715FF">
        <w:rPr>
          <w:rFonts w:cs="Arial" w:hint="cs"/>
          <w:sz w:val="24"/>
          <w:szCs w:val="24"/>
          <w:rtl/>
          <w:lang w:bidi="ar-IQ"/>
        </w:rPr>
        <w:t>فتحي</w:t>
      </w:r>
      <w:r w:rsidRPr="006715FF">
        <w:rPr>
          <w:rFonts w:cs="Arial"/>
          <w:sz w:val="24"/>
          <w:szCs w:val="24"/>
          <w:rtl/>
          <w:lang w:bidi="ar-IQ"/>
        </w:rPr>
        <w:t xml:space="preserve"> </w:t>
      </w:r>
      <w:r w:rsidRPr="006715FF">
        <w:rPr>
          <w:rFonts w:cs="Arial" w:hint="cs"/>
          <w:sz w:val="24"/>
          <w:szCs w:val="24"/>
          <w:rtl/>
          <w:lang w:bidi="ar-IQ"/>
        </w:rPr>
        <w:t>ناصف</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نظام</w:t>
      </w:r>
      <w:r w:rsidRPr="006715FF">
        <w:rPr>
          <w:rFonts w:cs="Arial"/>
          <w:sz w:val="24"/>
          <w:szCs w:val="24"/>
          <w:rtl/>
          <w:lang w:bidi="ar-IQ"/>
        </w:rPr>
        <w:t xml:space="preserve"> </w:t>
      </w:r>
      <w:r w:rsidRPr="006715FF">
        <w:rPr>
          <w:rFonts w:cs="Arial" w:hint="cs"/>
          <w:sz w:val="24"/>
          <w:szCs w:val="24"/>
          <w:rtl/>
          <w:lang w:bidi="ar-IQ"/>
        </w:rPr>
        <w:t>الجنسية</w:t>
      </w:r>
      <w:r w:rsidRPr="006715FF">
        <w:rPr>
          <w:rFonts w:cs="Arial"/>
          <w:sz w:val="24"/>
          <w:szCs w:val="24"/>
          <w:rtl/>
          <w:lang w:bidi="ar-IQ"/>
        </w:rPr>
        <w:t xml:space="preserve"> </w:t>
      </w:r>
      <w:r w:rsidRPr="006715FF">
        <w:rPr>
          <w:rFonts w:cs="Arial" w:hint="cs"/>
          <w:sz w:val="24"/>
          <w:szCs w:val="24"/>
          <w:rtl/>
          <w:lang w:bidi="ar-IQ"/>
        </w:rPr>
        <w:t>في</w:t>
      </w:r>
      <w:r w:rsidRPr="006715FF">
        <w:rPr>
          <w:rFonts w:cs="Arial"/>
          <w:sz w:val="24"/>
          <w:szCs w:val="24"/>
          <w:rtl/>
          <w:lang w:bidi="ar-IQ"/>
        </w:rPr>
        <w:t xml:space="preserve"> </w:t>
      </w:r>
      <w:r w:rsidRPr="006715FF">
        <w:rPr>
          <w:rFonts w:cs="Arial" w:hint="cs"/>
          <w:sz w:val="24"/>
          <w:szCs w:val="24"/>
          <w:rtl/>
          <w:lang w:bidi="ar-IQ"/>
        </w:rPr>
        <w:t>القانون</w:t>
      </w:r>
      <w:r w:rsidRPr="006715FF">
        <w:rPr>
          <w:rFonts w:cs="Arial"/>
          <w:sz w:val="24"/>
          <w:szCs w:val="24"/>
          <w:rtl/>
          <w:lang w:bidi="ar-IQ"/>
        </w:rPr>
        <w:t xml:space="preserve"> </w:t>
      </w:r>
      <w:r w:rsidRPr="006715FF">
        <w:rPr>
          <w:rFonts w:cs="Arial" w:hint="cs"/>
          <w:sz w:val="24"/>
          <w:szCs w:val="24"/>
          <w:rtl/>
          <w:lang w:bidi="ar-IQ"/>
        </w:rPr>
        <w:t>المقارن</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دار</w:t>
      </w:r>
      <w:r w:rsidRPr="006715FF">
        <w:rPr>
          <w:rFonts w:cs="Arial"/>
          <w:sz w:val="24"/>
          <w:szCs w:val="24"/>
          <w:rtl/>
          <w:lang w:bidi="ar-IQ"/>
        </w:rPr>
        <w:t xml:space="preserve"> </w:t>
      </w:r>
      <w:r w:rsidRPr="006715FF">
        <w:rPr>
          <w:rFonts w:cs="Arial" w:hint="cs"/>
          <w:sz w:val="24"/>
          <w:szCs w:val="24"/>
          <w:rtl/>
          <w:lang w:bidi="ar-IQ"/>
        </w:rPr>
        <w:t>النهضة</w:t>
      </w:r>
      <w:r w:rsidRPr="006715FF">
        <w:rPr>
          <w:rFonts w:cs="Arial"/>
          <w:sz w:val="24"/>
          <w:szCs w:val="24"/>
          <w:rtl/>
          <w:lang w:bidi="ar-IQ"/>
        </w:rPr>
        <w:t xml:space="preserve"> </w:t>
      </w:r>
      <w:r w:rsidRPr="006715FF">
        <w:rPr>
          <w:rFonts w:cs="Arial" w:hint="cs"/>
          <w:sz w:val="24"/>
          <w:szCs w:val="24"/>
          <w:rtl/>
          <w:lang w:bidi="ar-IQ"/>
        </w:rPr>
        <w:t>العربية</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القاهرة</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2007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ص</w:t>
      </w:r>
      <w:r w:rsidRPr="006715FF">
        <w:rPr>
          <w:rFonts w:cs="Arial"/>
          <w:sz w:val="24"/>
          <w:szCs w:val="24"/>
          <w:rtl/>
          <w:lang w:bidi="ar-IQ"/>
        </w:rPr>
        <w:t xml:space="preserve"> 276 .</w:t>
      </w:r>
    </w:p>
  </w:footnote>
  <w:footnote w:id="2">
    <w:p w:rsidR="00184A5E" w:rsidRPr="006715FF" w:rsidRDefault="00184A5E" w:rsidP="00184A5E">
      <w:pPr>
        <w:pStyle w:val="aa"/>
        <w:jc w:val="both"/>
        <w:rPr>
          <w:sz w:val="24"/>
          <w:szCs w:val="24"/>
          <w:rtl/>
          <w:lang w:bidi="ar-IQ"/>
        </w:rPr>
      </w:pPr>
      <w:r w:rsidRPr="006715FF">
        <w:rPr>
          <w:rFonts w:hint="cs"/>
          <w:sz w:val="24"/>
          <w:szCs w:val="24"/>
          <w:rtl/>
        </w:rPr>
        <w:t>(</w:t>
      </w:r>
      <w:r w:rsidRPr="006715FF">
        <w:rPr>
          <w:rStyle w:val="ab"/>
          <w:sz w:val="24"/>
          <w:szCs w:val="24"/>
        </w:rPr>
        <w:footnoteRef/>
      </w:r>
      <w:r w:rsidRPr="006715FF">
        <w:rPr>
          <w:rFonts w:hint="cs"/>
          <w:sz w:val="24"/>
          <w:szCs w:val="24"/>
          <w:rtl/>
        </w:rPr>
        <w:t>)</w:t>
      </w:r>
      <w:r w:rsidRPr="006715FF">
        <w:rPr>
          <w:rFonts w:cs="Arial" w:hint="cs"/>
          <w:sz w:val="24"/>
          <w:szCs w:val="24"/>
          <w:rtl/>
          <w:lang w:bidi="ar-IQ"/>
        </w:rPr>
        <w:t xml:space="preserve"> د</w:t>
      </w:r>
      <w:r w:rsidRPr="006715FF">
        <w:rPr>
          <w:rFonts w:cs="Arial"/>
          <w:sz w:val="24"/>
          <w:szCs w:val="24"/>
          <w:rtl/>
          <w:lang w:bidi="ar-IQ"/>
        </w:rPr>
        <w:t xml:space="preserve">. </w:t>
      </w:r>
      <w:r w:rsidRPr="006715FF">
        <w:rPr>
          <w:rFonts w:cs="Arial" w:hint="cs"/>
          <w:sz w:val="24"/>
          <w:szCs w:val="24"/>
          <w:rtl/>
          <w:lang w:bidi="ar-IQ"/>
        </w:rPr>
        <w:t>عباس</w:t>
      </w:r>
      <w:r w:rsidRPr="006715FF">
        <w:rPr>
          <w:rFonts w:cs="Arial"/>
          <w:sz w:val="24"/>
          <w:szCs w:val="24"/>
          <w:rtl/>
          <w:lang w:bidi="ar-IQ"/>
        </w:rPr>
        <w:t xml:space="preserve"> </w:t>
      </w:r>
      <w:r w:rsidRPr="006715FF">
        <w:rPr>
          <w:rFonts w:cs="Arial" w:hint="cs"/>
          <w:sz w:val="24"/>
          <w:szCs w:val="24"/>
          <w:rtl/>
          <w:lang w:bidi="ar-IQ"/>
        </w:rPr>
        <w:t>العبودي</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مصدر</w:t>
      </w:r>
      <w:r w:rsidRPr="006715FF">
        <w:rPr>
          <w:rFonts w:cs="Arial"/>
          <w:sz w:val="24"/>
          <w:szCs w:val="24"/>
          <w:rtl/>
          <w:lang w:bidi="ar-IQ"/>
        </w:rPr>
        <w:t xml:space="preserve"> </w:t>
      </w:r>
      <w:r w:rsidRPr="006715FF">
        <w:rPr>
          <w:rFonts w:cs="Arial" w:hint="cs"/>
          <w:sz w:val="24"/>
          <w:szCs w:val="24"/>
          <w:rtl/>
          <w:lang w:bidi="ar-IQ"/>
        </w:rPr>
        <w:t>سابق</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ص</w:t>
      </w:r>
      <w:r w:rsidRPr="006715FF">
        <w:rPr>
          <w:rFonts w:cs="Arial"/>
          <w:sz w:val="24"/>
          <w:szCs w:val="24"/>
          <w:rtl/>
          <w:lang w:bidi="ar-IQ"/>
        </w:rPr>
        <w:t xml:space="preserve"> 157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كذلك</w:t>
      </w:r>
      <w:r w:rsidRPr="006715FF">
        <w:rPr>
          <w:rFonts w:cs="Arial"/>
          <w:sz w:val="24"/>
          <w:szCs w:val="24"/>
          <w:rtl/>
          <w:lang w:bidi="ar-IQ"/>
        </w:rPr>
        <w:t xml:space="preserve"> </w:t>
      </w:r>
      <w:r w:rsidRPr="006715FF">
        <w:rPr>
          <w:rFonts w:cs="Arial" w:hint="cs"/>
          <w:sz w:val="24"/>
          <w:szCs w:val="24"/>
          <w:rtl/>
          <w:lang w:bidi="ar-IQ"/>
        </w:rPr>
        <w:t>د</w:t>
      </w:r>
      <w:r w:rsidRPr="006715FF">
        <w:rPr>
          <w:rFonts w:cs="Arial"/>
          <w:sz w:val="24"/>
          <w:szCs w:val="24"/>
          <w:rtl/>
          <w:lang w:bidi="ar-IQ"/>
        </w:rPr>
        <w:t xml:space="preserve"> .</w:t>
      </w:r>
      <w:r w:rsidRPr="006715FF">
        <w:rPr>
          <w:rFonts w:cs="Arial" w:hint="cs"/>
          <w:sz w:val="24"/>
          <w:szCs w:val="24"/>
          <w:rtl/>
          <w:lang w:bidi="ar-IQ"/>
        </w:rPr>
        <w:t>عبد</w:t>
      </w:r>
      <w:r w:rsidRPr="006715FF">
        <w:rPr>
          <w:rFonts w:cs="Arial"/>
          <w:sz w:val="24"/>
          <w:szCs w:val="24"/>
          <w:rtl/>
          <w:lang w:bidi="ar-IQ"/>
        </w:rPr>
        <w:t xml:space="preserve"> </w:t>
      </w:r>
      <w:r w:rsidRPr="006715FF">
        <w:rPr>
          <w:rFonts w:cs="Arial" w:hint="cs"/>
          <w:sz w:val="24"/>
          <w:szCs w:val="24"/>
          <w:rtl/>
          <w:lang w:bidi="ar-IQ"/>
        </w:rPr>
        <w:t>الرسول</w:t>
      </w:r>
      <w:r w:rsidRPr="006715FF">
        <w:rPr>
          <w:rFonts w:cs="Arial"/>
          <w:sz w:val="24"/>
          <w:szCs w:val="24"/>
          <w:rtl/>
          <w:lang w:bidi="ar-IQ"/>
        </w:rPr>
        <w:t xml:space="preserve"> </w:t>
      </w:r>
      <w:r w:rsidRPr="006715FF">
        <w:rPr>
          <w:rFonts w:cs="Arial" w:hint="cs"/>
          <w:sz w:val="24"/>
          <w:szCs w:val="24"/>
          <w:rtl/>
          <w:lang w:bidi="ar-IQ"/>
        </w:rPr>
        <w:t>عبد</w:t>
      </w:r>
      <w:r w:rsidRPr="006715FF">
        <w:rPr>
          <w:rFonts w:cs="Arial"/>
          <w:sz w:val="24"/>
          <w:szCs w:val="24"/>
          <w:rtl/>
          <w:lang w:bidi="ar-IQ"/>
        </w:rPr>
        <w:t xml:space="preserve"> </w:t>
      </w:r>
      <w:r w:rsidRPr="006715FF">
        <w:rPr>
          <w:rFonts w:cs="Arial" w:hint="cs"/>
          <w:sz w:val="24"/>
          <w:szCs w:val="24"/>
          <w:rtl/>
          <w:lang w:bidi="ar-IQ"/>
        </w:rPr>
        <w:t>الرضا</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مصدر</w:t>
      </w:r>
      <w:r w:rsidRPr="006715FF">
        <w:rPr>
          <w:rFonts w:cs="Arial"/>
          <w:sz w:val="24"/>
          <w:szCs w:val="24"/>
          <w:rtl/>
          <w:lang w:bidi="ar-IQ"/>
        </w:rPr>
        <w:t xml:space="preserve"> </w:t>
      </w:r>
      <w:r w:rsidRPr="006715FF">
        <w:rPr>
          <w:rFonts w:cs="Arial" w:hint="cs"/>
          <w:sz w:val="24"/>
          <w:szCs w:val="24"/>
          <w:rtl/>
          <w:lang w:bidi="ar-IQ"/>
        </w:rPr>
        <w:t>سابق</w:t>
      </w:r>
      <w:r w:rsidRPr="006715FF">
        <w:rPr>
          <w:rFonts w:cs="Arial"/>
          <w:sz w:val="24"/>
          <w:szCs w:val="24"/>
          <w:rtl/>
          <w:lang w:bidi="ar-IQ"/>
        </w:rPr>
        <w:t xml:space="preserve"> </w:t>
      </w:r>
      <w:r w:rsidRPr="006715FF">
        <w:rPr>
          <w:rFonts w:cs="Arial" w:hint="cs"/>
          <w:sz w:val="24"/>
          <w:szCs w:val="24"/>
          <w:rtl/>
          <w:lang w:bidi="ar-IQ"/>
        </w:rPr>
        <w:t>،</w:t>
      </w:r>
      <w:r w:rsidRPr="006715FF">
        <w:rPr>
          <w:rFonts w:cs="Arial"/>
          <w:sz w:val="24"/>
          <w:szCs w:val="24"/>
          <w:rtl/>
          <w:lang w:bidi="ar-IQ"/>
        </w:rPr>
        <w:t xml:space="preserve"> </w:t>
      </w:r>
      <w:r w:rsidRPr="006715FF">
        <w:rPr>
          <w:rFonts w:cs="Arial" w:hint="cs"/>
          <w:sz w:val="24"/>
          <w:szCs w:val="24"/>
          <w:rtl/>
          <w:lang w:bidi="ar-IQ"/>
        </w:rPr>
        <w:t>ص</w:t>
      </w:r>
      <w:r w:rsidRPr="006715FF">
        <w:rPr>
          <w:rFonts w:cs="Arial"/>
          <w:sz w:val="24"/>
          <w:szCs w:val="24"/>
          <w:rtl/>
          <w:lang w:bidi="ar-IQ"/>
        </w:rPr>
        <w:t xml:space="preserve"> 153 .</w:t>
      </w:r>
    </w:p>
  </w:footnote>
  <w:footnote w:id="3">
    <w:p w:rsidR="00184A5E" w:rsidRPr="006715FF" w:rsidRDefault="00184A5E" w:rsidP="00184A5E">
      <w:pPr>
        <w:pStyle w:val="aa"/>
        <w:jc w:val="both"/>
        <w:rPr>
          <w:sz w:val="24"/>
          <w:szCs w:val="24"/>
          <w:lang w:bidi="ar-IQ"/>
        </w:rPr>
      </w:pPr>
      <w:r w:rsidRPr="006715FF">
        <w:rPr>
          <w:rFonts w:hint="cs"/>
          <w:sz w:val="24"/>
          <w:szCs w:val="24"/>
          <w:rtl/>
        </w:rPr>
        <w:t>(</w:t>
      </w:r>
      <w:r w:rsidRPr="006715FF">
        <w:rPr>
          <w:rStyle w:val="ab"/>
          <w:sz w:val="24"/>
          <w:szCs w:val="24"/>
        </w:rPr>
        <w:footnoteRef/>
      </w:r>
      <w:r w:rsidRPr="006715FF">
        <w:rPr>
          <w:rFonts w:hint="cs"/>
          <w:sz w:val="24"/>
          <w:szCs w:val="24"/>
          <w:rtl/>
        </w:rPr>
        <w:t>)</w:t>
      </w:r>
      <w:r w:rsidRPr="006715FF">
        <w:rPr>
          <w:rFonts w:cs="Arial" w:hint="cs"/>
          <w:sz w:val="24"/>
          <w:szCs w:val="24"/>
          <w:rtl/>
          <w:lang w:bidi="ar-IQ"/>
        </w:rPr>
        <w:t xml:space="preserve"> المنشور</w:t>
      </w:r>
      <w:r w:rsidRPr="006715FF">
        <w:rPr>
          <w:rFonts w:cs="Arial"/>
          <w:sz w:val="24"/>
          <w:szCs w:val="24"/>
          <w:rtl/>
          <w:lang w:bidi="ar-IQ"/>
        </w:rPr>
        <w:t xml:space="preserve"> </w:t>
      </w:r>
      <w:r w:rsidRPr="006715FF">
        <w:rPr>
          <w:rFonts w:cs="Arial" w:hint="cs"/>
          <w:sz w:val="24"/>
          <w:szCs w:val="24"/>
          <w:rtl/>
          <w:lang w:bidi="ar-IQ"/>
        </w:rPr>
        <w:t>بالوقائع</w:t>
      </w:r>
      <w:r w:rsidRPr="006715FF">
        <w:rPr>
          <w:rFonts w:cs="Arial"/>
          <w:sz w:val="24"/>
          <w:szCs w:val="24"/>
          <w:rtl/>
          <w:lang w:bidi="ar-IQ"/>
        </w:rPr>
        <w:t xml:space="preserve"> </w:t>
      </w:r>
      <w:r w:rsidRPr="006715FF">
        <w:rPr>
          <w:rFonts w:cs="Arial" w:hint="cs"/>
          <w:sz w:val="24"/>
          <w:szCs w:val="24"/>
          <w:rtl/>
          <w:lang w:bidi="ar-IQ"/>
        </w:rPr>
        <w:t>العراقية</w:t>
      </w:r>
      <w:r w:rsidRPr="006715FF">
        <w:rPr>
          <w:rFonts w:cs="Arial"/>
          <w:sz w:val="24"/>
          <w:szCs w:val="24"/>
          <w:rtl/>
          <w:lang w:bidi="ar-IQ"/>
        </w:rPr>
        <w:t xml:space="preserve"> </w:t>
      </w:r>
      <w:r w:rsidRPr="006715FF">
        <w:rPr>
          <w:rFonts w:cs="Arial" w:hint="cs"/>
          <w:sz w:val="24"/>
          <w:szCs w:val="24"/>
          <w:rtl/>
          <w:lang w:bidi="ar-IQ"/>
        </w:rPr>
        <w:t>رقم</w:t>
      </w:r>
      <w:r w:rsidRPr="006715FF">
        <w:rPr>
          <w:rFonts w:cs="Arial"/>
          <w:sz w:val="24"/>
          <w:szCs w:val="24"/>
          <w:rtl/>
          <w:lang w:bidi="ar-IQ"/>
        </w:rPr>
        <w:t xml:space="preserve"> 2461 </w:t>
      </w:r>
      <w:r w:rsidRPr="006715FF">
        <w:rPr>
          <w:rFonts w:cs="Arial" w:hint="cs"/>
          <w:sz w:val="24"/>
          <w:szCs w:val="24"/>
          <w:rtl/>
          <w:lang w:bidi="ar-IQ"/>
        </w:rPr>
        <w:t>في</w:t>
      </w:r>
      <w:r w:rsidRPr="006715FF">
        <w:rPr>
          <w:rFonts w:cs="Arial"/>
          <w:sz w:val="24"/>
          <w:szCs w:val="24"/>
          <w:rtl/>
          <w:lang w:bidi="ar-IQ"/>
        </w:rPr>
        <w:t xml:space="preserve"> 24 / 4 / 1975 , </w:t>
      </w:r>
      <w:r w:rsidRPr="006715FF">
        <w:rPr>
          <w:rFonts w:cs="Arial" w:hint="cs"/>
          <w:sz w:val="24"/>
          <w:szCs w:val="24"/>
          <w:rtl/>
          <w:lang w:bidi="ar-IQ"/>
        </w:rPr>
        <w:t>ص</w:t>
      </w:r>
      <w:r w:rsidRPr="006715FF">
        <w:rPr>
          <w:rFonts w:cs="Arial"/>
          <w:sz w:val="24"/>
          <w:szCs w:val="24"/>
          <w:rtl/>
          <w:lang w:bidi="ar-IQ"/>
        </w:rPr>
        <w:t xml:space="preserve"> 2 .</w:t>
      </w:r>
    </w:p>
  </w:footnote>
  <w:footnote w:id="4">
    <w:p w:rsidR="00184A5E" w:rsidRDefault="00184A5E" w:rsidP="00184A5E">
      <w:pPr>
        <w:pStyle w:val="aa"/>
        <w:rPr>
          <w:rtl/>
          <w:lang w:bidi="ar-IQ"/>
        </w:rPr>
      </w:pPr>
      <w:r>
        <w:rPr>
          <w:rFonts w:hint="cs"/>
          <w:rtl/>
        </w:rPr>
        <w:t>(</w:t>
      </w:r>
      <w:r>
        <w:rPr>
          <w:rStyle w:val="ab"/>
        </w:rPr>
        <w:footnoteRef/>
      </w:r>
      <w:r>
        <w:rPr>
          <w:rFonts w:hint="cs"/>
          <w:rtl/>
        </w:rPr>
        <w:t>)</w:t>
      </w:r>
      <w:r>
        <w:rPr>
          <w:rFonts w:cs="Arial" w:hint="cs"/>
          <w:rtl/>
          <w:lang w:bidi="ar-IQ"/>
        </w:rPr>
        <w:t xml:space="preserve"> </w:t>
      </w:r>
      <w:r w:rsidRPr="006802D0">
        <w:rPr>
          <w:rFonts w:cs="Arial" w:hint="cs"/>
          <w:rtl/>
          <w:lang w:bidi="ar-IQ"/>
        </w:rPr>
        <w:t>ينظر</w:t>
      </w:r>
      <w:r w:rsidRPr="006802D0">
        <w:rPr>
          <w:rFonts w:cs="Arial"/>
          <w:rtl/>
          <w:lang w:bidi="ar-IQ"/>
        </w:rPr>
        <w:t xml:space="preserve"> </w:t>
      </w:r>
      <w:r w:rsidRPr="006802D0">
        <w:rPr>
          <w:rFonts w:cs="Arial" w:hint="cs"/>
          <w:rtl/>
          <w:lang w:bidi="ar-IQ"/>
        </w:rPr>
        <w:t>المواد</w:t>
      </w:r>
      <w:r w:rsidRPr="006802D0">
        <w:rPr>
          <w:rFonts w:cs="Arial"/>
          <w:rtl/>
          <w:lang w:bidi="ar-IQ"/>
        </w:rPr>
        <w:t xml:space="preserve"> </w:t>
      </w:r>
      <w:r>
        <w:rPr>
          <w:rFonts w:cs="Arial" w:hint="cs"/>
          <w:rtl/>
          <w:lang w:bidi="ar-IQ"/>
        </w:rPr>
        <w:t xml:space="preserve">(19و20) </w:t>
      </w:r>
      <w:r w:rsidRPr="006802D0">
        <w:rPr>
          <w:rFonts w:cs="Arial" w:hint="cs"/>
          <w:rtl/>
          <w:lang w:bidi="ar-IQ"/>
        </w:rPr>
        <w:t>من</w:t>
      </w:r>
      <w:r w:rsidRPr="006802D0">
        <w:rPr>
          <w:rFonts w:cs="Arial"/>
          <w:rtl/>
          <w:lang w:bidi="ar-IQ"/>
        </w:rPr>
        <w:t xml:space="preserve"> </w:t>
      </w:r>
      <w:r w:rsidRPr="006802D0">
        <w:rPr>
          <w:rFonts w:cs="Arial" w:hint="cs"/>
          <w:rtl/>
          <w:lang w:bidi="ar-IQ"/>
        </w:rPr>
        <w:t>قانون</w:t>
      </w:r>
      <w:r w:rsidRPr="006802D0">
        <w:rPr>
          <w:rFonts w:cs="Arial"/>
          <w:rtl/>
          <w:lang w:bidi="ar-IQ"/>
        </w:rPr>
        <w:t xml:space="preserve"> </w:t>
      </w:r>
      <w:r w:rsidRPr="006802D0">
        <w:rPr>
          <w:rFonts w:cs="Arial" w:hint="cs"/>
          <w:rtl/>
          <w:lang w:bidi="ar-IQ"/>
        </w:rPr>
        <w:t>الجنسية</w:t>
      </w:r>
      <w:r w:rsidRPr="006802D0">
        <w:rPr>
          <w:rFonts w:cs="Arial"/>
          <w:rtl/>
          <w:lang w:bidi="ar-IQ"/>
        </w:rPr>
        <w:t xml:space="preserve"> </w:t>
      </w:r>
      <w:r w:rsidRPr="006802D0">
        <w:rPr>
          <w:rFonts w:cs="Arial" w:hint="cs"/>
          <w:rtl/>
          <w:lang w:bidi="ar-IQ"/>
        </w:rPr>
        <w:t>النافذ</w:t>
      </w:r>
      <w:r w:rsidRPr="006802D0">
        <w:rPr>
          <w:rFonts w:cs="Arial"/>
          <w:rtl/>
          <w:lang w:bidi="ar-IQ"/>
        </w:rPr>
        <w:t xml:space="preserve"> </w:t>
      </w:r>
      <w:r w:rsidRPr="006802D0">
        <w:rPr>
          <w:rFonts w:cs="Arial" w:hint="cs"/>
          <w:rtl/>
          <w:lang w:bidi="ar-IQ"/>
        </w:rPr>
        <w:t>رقم</w:t>
      </w:r>
      <w:r w:rsidRPr="006802D0">
        <w:rPr>
          <w:rFonts w:cs="Arial"/>
          <w:rtl/>
          <w:lang w:bidi="ar-IQ"/>
        </w:rPr>
        <w:t xml:space="preserve"> (26)  </w:t>
      </w:r>
      <w:r w:rsidRPr="006802D0">
        <w:rPr>
          <w:rFonts w:cs="Arial" w:hint="cs"/>
          <w:rtl/>
          <w:lang w:bidi="ar-IQ"/>
        </w:rPr>
        <w:t>لسنة</w:t>
      </w:r>
      <w:r w:rsidRPr="006802D0">
        <w:rPr>
          <w:rFonts w:cs="Arial"/>
          <w:rtl/>
          <w:lang w:bidi="ar-IQ"/>
        </w:rPr>
        <w:t xml:space="preserve"> 2006 .</w:t>
      </w:r>
    </w:p>
  </w:footnote>
  <w:footnote w:id="5">
    <w:p w:rsidR="00184A5E" w:rsidRPr="006802D0" w:rsidRDefault="00184A5E" w:rsidP="00184A5E">
      <w:pPr>
        <w:pStyle w:val="aa"/>
        <w:jc w:val="both"/>
        <w:rPr>
          <w:sz w:val="24"/>
          <w:szCs w:val="24"/>
          <w:rtl/>
          <w:lang w:bidi="ar-IQ"/>
        </w:rPr>
      </w:pPr>
      <w:r w:rsidRPr="006802D0">
        <w:rPr>
          <w:rFonts w:hint="cs"/>
          <w:sz w:val="24"/>
          <w:szCs w:val="24"/>
          <w:rtl/>
        </w:rPr>
        <w:t>(</w:t>
      </w:r>
      <w:r w:rsidRPr="006802D0">
        <w:rPr>
          <w:rStyle w:val="ab"/>
          <w:sz w:val="24"/>
          <w:szCs w:val="24"/>
        </w:rPr>
        <w:footnoteRef/>
      </w:r>
      <w:r w:rsidRPr="006802D0">
        <w:rPr>
          <w:rFonts w:hint="cs"/>
          <w:sz w:val="24"/>
          <w:szCs w:val="24"/>
          <w:rtl/>
        </w:rPr>
        <w:t xml:space="preserve">) </w:t>
      </w:r>
      <w:r w:rsidRPr="006802D0">
        <w:rPr>
          <w:rFonts w:cs="Arial" w:hint="cs"/>
          <w:sz w:val="24"/>
          <w:szCs w:val="24"/>
          <w:rtl/>
          <w:lang w:bidi="ar-IQ"/>
        </w:rPr>
        <w:t>نصت</w:t>
      </w:r>
      <w:r w:rsidRPr="006802D0">
        <w:rPr>
          <w:rFonts w:cs="Arial"/>
          <w:sz w:val="24"/>
          <w:szCs w:val="24"/>
          <w:rtl/>
          <w:lang w:bidi="ar-IQ"/>
        </w:rPr>
        <w:t xml:space="preserve"> </w:t>
      </w:r>
      <w:r w:rsidRPr="006802D0">
        <w:rPr>
          <w:rFonts w:cs="Arial" w:hint="cs"/>
          <w:sz w:val="24"/>
          <w:szCs w:val="24"/>
          <w:rtl/>
          <w:lang w:bidi="ar-IQ"/>
        </w:rPr>
        <w:t>المادة</w:t>
      </w:r>
      <w:r w:rsidRPr="006802D0">
        <w:rPr>
          <w:rFonts w:cs="Arial"/>
          <w:sz w:val="24"/>
          <w:szCs w:val="24"/>
          <w:rtl/>
          <w:lang w:bidi="ar-IQ"/>
        </w:rPr>
        <w:t xml:space="preserve"> (100) </w:t>
      </w:r>
      <w:r w:rsidRPr="006802D0">
        <w:rPr>
          <w:rFonts w:cs="Arial" w:hint="cs"/>
          <w:sz w:val="24"/>
          <w:szCs w:val="24"/>
          <w:rtl/>
          <w:lang w:bidi="ar-IQ"/>
        </w:rPr>
        <w:t>من</w:t>
      </w:r>
      <w:r w:rsidRPr="006802D0">
        <w:rPr>
          <w:rFonts w:cs="Arial"/>
          <w:sz w:val="24"/>
          <w:szCs w:val="24"/>
          <w:rtl/>
          <w:lang w:bidi="ar-IQ"/>
        </w:rPr>
        <w:t xml:space="preserve"> </w:t>
      </w:r>
      <w:r w:rsidRPr="006802D0">
        <w:rPr>
          <w:rFonts w:cs="Arial" w:hint="cs"/>
          <w:sz w:val="24"/>
          <w:szCs w:val="24"/>
          <w:rtl/>
          <w:lang w:bidi="ar-IQ"/>
        </w:rPr>
        <w:t>دستور</w:t>
      </w:r>
      <w:r w:rsidRPr="006802D0">
        <w:rPr>
          <w:rFonts w:cs="Arial"/>
          <w:sz w:val="24"/>
          <w:szCs w:val="24"/>
          <w:rtl/>
          <w:lang w:bidi="ar-IQ"/>
        </w:rPr>
        <w:t xml:space="preserve"> </w:t>
      </w:r>
      <w:r w:rsidRPr="006802D0">
        <w:rPr>
          <w:rFonts w:cs="Arial" w:hint="cs"/>
          <w:sz w:val="24"/>
          <w:szCs w:val="24"/>
          <w:rtl/>
          <w:lang w:bidi="ar-IQ"/>
        </w:rPr>
        <w:t>جمهورية</w:t>
      </w:r>
      <w:r w:rsidRPr="006802D0">
        <w:rPr>
          <w:rFonts w:cs="Arial"/>
          <w:sz w:val="24"/>
          <w:szCs w:val="24"/>
          <w:rtl/>
          <w:lang w:bidi="ar-IQ"/>
        </w:rPr>
        <w:t xml:space="preserve"> </w:t>
      </w:r>
      <w:r w:rsidRPr="006802D0">
        <w:rPr>
          <w:rFonts w:cs="Arial" w:hint="cs"/>
          <w:sz w:val="24"/>
          <w:szCs w:val="24"/>
          <w:rtl/>
          <w:lang w:bidi="ar-IQ"/>
        </w:rPr>
        <w:t>العراق</w:t>
      </w:r>
      <w:r w:rsidRPr="006802D0">
        <w:rPr>
          <w:rFonts w:cs="Arial"/>
          <w:sz w:val="24"/>
          <w:szCs w:val="24"/>
          <w:rtl/>
          <w:lang w:bidi="ar-IQ"/>
        </w:rPr>
        <w:t xml:space="preserve"> </w:t>
      </w:r>
      <w:r w:rsidRPr="006802D0">
        <w:rPr>
          <w:rFonts w:cs="Arial" w:hint="cs"/>
          <w:sz w:val="24"/>
          <w:szCs w:val="24"/>
          <w:rtl/>
          <w:lang w:bidi="ar-IQ"/>
        </w:rPr>
        <w:t>لعام</w:t>
      </w:r>
      <w:r w:rsidRPr="006802D0">
        <w:rPr>
          <w:rFonts w:cs="Arial"/>
          <w:sz w:val="24"/>
          <w:szCs w:val="24"/>
          <w:rtl/>
          <w:lang w:bidi="ar-IQ"/>
        </w:rPr>
        <w:t xml:space="preserve"> 2005 </w:t>
      </w:r>
      <w:r w:rsidRPr="006802D0">
        <w:rPr>
          <w:rFonts w:cs="Arial" w:hint="cs"/>
          <w:sz w:val="24"/>
          <w:szCs w:val="24"/>
          <w:rtl/>
          <w:lang w:bidi="ar-IQ"/>
        </w:rPr>
        <w:t>على</w:t>
      </w:r>
      <w:r w:rsidRPr="006802D0">
        <w:rPr>
          <w:rFonts w:cs="Arial"/>
          <w:sz w:val="24"/>
          <w:szCs w:val="24"/>
          <w:rtl/>
          <w:lang w:bidi="ar-IQ"/>
        </w:rPr>
        <w:t xml:space="preserve"> </w:t>
      </w:r>
      <w:r w:rsidRPr="006802D0">
        <w:rPr>
          <w:rFonts w:cs="Arial" w:hint="cs"/>
          <w:sz w:val="24"/>
          <w:szCs w:val="24"/>
          <w:rtl/>
          <w:lang w:bidi="ar-IQ"/>
        </w:rPr>
        <w:t>انه</w:t>
      </w:r>
      <w:r>
        <w:rPr>
          <w:rFonts w:cs="Arial" w:hint="cs"/>
          <w:sz w:val="24"/>
          <w:szCs w:val="24"/>
          <w:rtl/>
          <w:lang w:bidi="ar-IQ"/>
        </w:rPr>
        <w:t xml:space="preserve"> " </w:t>
      </w:r>
      <w:r w:rsidRPr="006802D0">
        <w:rPr>
          <w:rFonts w:cs="Arial" w:hint="cs"/>
          <w:sz w:val="24"/>
          <w:szCs w:val="24"/>
          <w:rtl/>
          <w:lang w:bidi="ar-IQ"/>
        </w:rPr>
        <w:t>يحظر</w:t>
      </w:r>
      <w:r w:rsidRPr="006802D0">
        <w:rPr>
          <w:rFonts w:cs="Arial"/>
          <w:sz w:val="24"/>
          <w:szCs w:val="24"/>
          <w:rtl/>
          <w:lang w:bidi="ar-IQ"/>
        </w:rPr>
        <w:t xml:space="preserve"> </w:t>
      </w:r>
      <w:r w:rsidRPr="006802D0">
        <w:rPr>
          <w:rFonts w:cs="Arial" w:hint="cs"/>
          <w:sz w:val="24"/>
          <w:szCs w:val="24"/>
          <w:rtl/>
          <w:lang w:bidi="ar-IQ"/>
        </w:rPr>
        <w:t>النص</w:t>
      </w:r>
      <w:r>
        <w:rPr>
          <w:rFonts w:cs="Arial"/>
          <w:sz w:val="24"/>
          <w:szCs w:val="24"/>
          <w:rtl/>
          <w:lang w:bidi="ar-IQ"/>
        </w:rPr>
        <w:t xml:space="preserve"> </w:t>
      </w:r>
      <w:r w:rsidRPr="006802D0">
        <w:rPr>
          <w:rFonts w:cs="Arial" w:hint="cs"/>
          <w:sz w:val="24"/>
          <w:szCs w:val="24"/>
          <w:rtl/>
          <w:lang w:bidi="ar-IQ"/>
        </w:rPr>
        <w:t>في</w:t>
      </w:r>
      <w:r w:rsidRPr="006802D0">
        <w:rPr>
          <w:rFonts w:cs="Arial"/>
          <w:sz w:val="24"/>
          <w:szCs w:val="24"/>
          <w:rtl/>
          <w:lang w:bidi="ar-IQ"/>
        </w:rPr>
        <w:t xml:space="preserve"> </w:t>
      </w:r>
      <w:r w:rsidRPr="006802D0">
        <w:rPr>
          <w:rFonts w:cs="Arial" w:hint="cs"/>
          <w:sz w:val="24"/>
          <w:szCs w:val="24"/>
          <w:rtl/>
          <w:lang w:bidi="ar-IQ"/>
        </w:rPr>
        <w:t>القوانين</w:t>
      </w:r>
      <w:r w:rsidRPr="006802D0">
        <w:rPr>
          <w:rFonts w:cs="Arial"/>
          <w:sz w:val="24"/>
          <w:szCs w:val="24"/>
          <w:rtl/>
          <w:lang w:bidi="ar-IQ"/>
        </w:rPr>
        <w:t xml:space="preserve"> </w:t>
      </w:r>
      <w:r w:rsidRPr="006802D0">
        <w:rPr>
          <w:rFonts w:cs="Arial" w:hint="cs"/>
          <w:sz w:val="24"/>
          <w:szCs w:val="24"/>
          <w:rtl/>
          <w:lang w:bidi="ar-IQ"/>
        </w:rPr>
        <w:t>على</w:t>
      </w:r>
      <w:r w:rsidRPr="006802D0">
        <w:rPr>
          <w:rFonts w:cs="Arial"/>
          <w:sz w:val="24"/>
          <w:szCs w:val="24"/>
          <w:rtl/>
          <w:lang w:bidi="ar-IQ"/>
        </w:rPr>
        <w:t xml:space="preserve"> </w:t>
      </w:r>
      <w:r w:rsidRPr="006802D0">
        <w:rPr>
          <w:rFonts w:cs="Arial" w:hint="cs"/>
          <w:sz w:val="24"/>
          <w:szCs w:val="24"/>
          <w:rtl/>
          <w:lang w:bidi="ar-IQ"/>
        </w:rPr>
        <w:t>تحصين</w:t>
      </w:r>
      <w:r w:rsidRPr="006802D0">
        <w:rPr>
          <w:rFonts w:cs="Arial"/>
          <w:sz w:val="24"/>
          <w:szCs w:val="24"/>
          <w:rtl/>
          <w:lang w:bidi="ar-IQ"/>
        </w:rPr>
        <w:t xml:space="preserve"> </w:t>
      </w:r>
      <w:r w:rsidRPr="006802D0">
        <w:rPr>
          <w:rFonts w:cs="Arial" w:hint="cs"/>
          <w:sz w:val="24"/>
          <w:szCs w:val="24"/>
          <w:rtl/>
          <w:lang w:bidi="ar-IQ"/>
        </w:rPr>
        <w:t>اي</w:t>
      </w:r>
      <w:r w:rsidRPr="006802D0">
        <w:rPr>
          <w:rFonts w:cs="Arial"/>
          <w:sz w:val="24"/>
          <w:szCs w:val="24"/>
          <w:rtl/>
          <w:lang w:bidi="ar-IQ"/>
        </w:rPr>
        <w:t xml:space="preserve"> </w:t>
      </w:r>
      <w:r w:rsidRPr="006802D0">
        <w:rPr>
          <w:rFonts w:cs="Arial" w:hint="cs"/>
          <w:sz w:val="24"/>
          <w:szCs w:val="24"/>
          <w:rtl/>
          <w:lang w:bidi="ar-IQ"/>
        </w:rPr>
        <w:t>عمل</w:t>
      </w:r>
      <w:r w:rsidRPr="006802D0">
        <w:rPr>
          <w:rFonts w:cs="Arial"/>
          <w:sz w:val="24"/>
          <w:szCs w:val="24"/>
          <w:rtl/>
          <w:lang w:bidi="ar-IQ"/>
        </w:rPr>
        <w:t xml:space="preserve"> </w:t>
      </w:r>
      <w:r w:rsidRPr="006802D0">
        <w:rPr>
          <w:rFonts w:cs="Arial" w:hint="cs"/>
          <w:sz w:val="24"/>
          <w:szCs w:val="24"/>
          <w:rtl/>
          <w:lang w:bidi="ar-IQ"/>
        </w:rPr>
        <w:t>او</w:t>
      </w:r>
      <w:r w:rsidRPr="006802D0">
        <w:rPr>
          <w:rFonts w:cs="Arial"/>
          <w:sz w:val="24"/>
          <w:szCs w:val="24"/>
          <w:rtl/>
          <w:lang w:bidi="ar-IQ"/>
        </w:rPr>
        <w:t xml:space="preserve"> </w:t>
      </w:r>
      <w:r w:rsidRPr="006802D0">
        <w:rPr>
          <w:rFonts w:cs="Arial" w:hint="cs"/>
          <w:sz w:val="24"/>
          <w:szCs w:val="24"/>
          <w:rtl/>
          <w:lang w:bidi="ar-IQ"/>
        </w:rPr>
        <w:t>قرار</w:t>
      </w:r>
      <w:r w:rsidRPr="006802D0">
        <w:rPr>
          <w:rFonts w:cs="Arial"/>
          <w:sz w:val="24"/>
          <w:szCs w:val="24"/>
          <w:rtl/>
          <w:lang w:bidi="ar-IQ"/>
        </w:rPr>
        <w:t xml:space="preserve"> </w:t>
      </w:r>
      <w:r w:rsidRPr="006802D0">
        <w:rPr>
          <w:rFonts w:cs="Arial" w:hint="cs"/>
          <w:sz w:val="24"/>
          <w:szCs w:val="24"/>
          <w:rtl/>
          <w:lang w:bidi="ar-IQ"/>
        </w:rPr>
        <w:t>اداري</w:t>
      </w:r>
      <w:r w:rsidRPr="006802D0">
        <w:rPr>
          <w:rFonts w:cs="Arial"/>
          <w:sz w:val="24"/>
          <w:szCs w:val="24"/>
          <w:rtl/>
          <w:lang w:bidi="ar-IQ"/>
        </w:rPr>
        <w:t xml:space="preserve"> </w:t>
      </w:r>
      <w:r w:rsidRPr="006802D0">
        <w:rPr>
          <w:rFonts w:cs="Arial" w:hint="cs"/>
          <w:sz w:val="24"/>
          <w:szCs w:val="24"/>
          <w:rtl/>
          <w:lang w:bidi="ar-IQ"/>
        </w:rPr>
        <w:t>من</w:t>
      </w:r>
      <w:r w:rsidRPr="006802D0">
        <w:rPr>
          <w:rFonts w:cs="Arial"/>
          <w:sz w:val="24"/>
          <w:szCs w:val="24"/>
          <w:rtl/>
          <w:lang w:bidi="ar-IQ"/>
        </w:rPr>
        <w:t xml:space="preserve"> </w:t>
      </w:r>
      <w:r w:rsidRPr="006802D0">
        <w:rPr>
          <w:rFonts w:cs="Arial" w:hint="cs"/>
          <w:sz w:val="24"/>
          <w:szCs w:val="24"/>
          <w:rtl/>
          <w:lang w:bidi="ar-IQ"/>
        </w:rPr>
        <w:t>الطعن</w:t>
      </w:r>
      <w:r w:rsidRPr="006802D0">
        <w:rPr>
          <w:rFonts w:cs="Arial"/>
          <w:sz w:val="24"/>
          <w:szCs w:val="24"/>
          <w:rtl/>
          <w:lang w:bidi="ar-IQ"/>
        </w:rPr>
        <w:t xml:space="preserve"> </w:t>
      </w:r>
      <w:r w:rsidRPr="006802D0">
        <w:rPr>
          <w:rFonts w:cs="Arial" w:hint="cs"/>
          <w:sz w:val="24"/>
          <w:szCs w:val="24"/>
          <w:rtl/>
          <w:lang w:bidi="ar-IQ"/>
        </w:rPr>
        <w:t>فيه</w:t>
      </w:r>
      <w:r w:rsidRPr="006802D0">
        <w:rPr>
          <w:rFonts w:cs="Arial"/>
          <w:sz w:val="24"/>
          <w:szCs w:val="24"/>
          <w:rtl/>
          <w:lang w:bidi="ar-IQ"/>
        </w:rPr>
        <w:t xml:space="preserve"> </w:t>
      </w:r>
      <w:r w:rsidRPr="006802D0">
        <w:rPr>
          <w:rFonts w:cs="Arial" w:hint="cs"/>
          <w:sz w:val="24"/>
          <w:szCs w:val="24"/>
          <w:rtl/>
          <w:lang w:bidi="ar-IQ"/>
        </w:rPr>
        <w:t>امام</w:t>
      </w:r>
      <w:r w:rsidRPr="006802D0">
        <w:rPr>
          <w:rFonts w:cs="Arial"/>
          <w:sz w:val="24"/>
          <w:szCs w:val="24"/>
          <w:rtl/>
          <w:lang w:bidi="ar-IQ"/>
        </w:rPr>
        <w:t xml:space="preserve"> </w:t>
      </w:r>
      <w:r w:rsidRPr="006802D0">
        <w:rPr>
          <w:rFonts w:cs="Arial" w:hint="cs"/>
          <w:sz w:val="24"/>
          <w:szCs w:val="24"/>
          <w:rtl/>
          <w:lang w:bidi="ar-IQ"/>
        </w:rPr>
        <w:t>القضاء</w:t>
      </w:r>
      <w:r w:rsidRPr="006802D0">
        <w:rPr>
          <w:rFonts w:cs="Arial"/>
          <w:sz w:val="24"/>
          <w:szCs w:val="24"/>
          <w:rtl/>
          <w:lang w:bidi="ar-IQ"/>
        </w:rPr>
        <w:t xml:space="preserve"> </w:t>
      </w:r>
      <w:r>
        <w:rPr>
          <w:rFonts w:cs="Arial" w:hint="cs"/>
          <w:sz w:val="24"/>
          <w:szCs w:val="24"/>
          <w:rtl/>
          <w:lang w:bidi="ar-IQ"/>
        </w:rPr>
        <w:t>"</w:t>
      </w:r>
      <w:r w:rsidRPr="006802D0">
        <w:rPr>
          <w:rFonts w:cs="Arial"/>
          <w:sz w:val="24"/>
          <w:szCs w:val="24"/>
          <w:rtl/>
          <w:lang w:bidi="ar-IQ"/>
        </w:rPr>
        <w:t xml:space="preserve"> .</w:t>
      </w:r>
    </w:p>
  </w:footnote>
  <w:footnote w:id="6">
    <w:p w:rsidR="00184A5E" w:rsidRPr="006802D0" w:rsidRDefault="00184A5E" w:rsidP="00184A5E">
      <w:pPr>
        <w:pStyle w:val="aa"/>
        <w:jc w:val="both"/>
        <w:rPr>
          <w:sz w:val="24"/>
          <w:szCs w:val="24"/>
          <w:lang w:bidi="ar-IQ"/>
        </w:rPr>
      </w:pPr>
      <w:r w:rsidRPr="006802D0">
        <w:rPr>
          <w:rFonts w:hint="cs"/>
          <w:sz w:val="24"/>
          <w:szCs w:val="24"/>
          <w:rtl/>
        </w:rPr>
        <w:t>(</w:t>
      </w:r>
      <w:r w:rsidRPr="006802D0">
        <w:rPr>
          <w:rStyle w:val="ab"/>
          <w:sz w:val="24"/>
          <w:szCs w:val="24"/>
        </w:rPr>
        <w:footnoteRef/>
      </w:r>
      <w:r w:rsidRPr="006802D0">
        <w:rPr>
          <w:rFonts w:hint="cs"/>
          <w:sz w:val="24"/>
          <w:szCs w:val="24"/>
          <w:rtl/>
        </w:rPr>
        <w:t xml:space="preserve">) </w:t>
      </w:r>
      <w:r w:rsidRPr="006802D0">
        <w:rPr>
          <w:rFonts w:cs="Arial" w:hint="cs"/>
          <w:sz w:val="24"/>
          <w:szCs w:val="24"/>
          <w:rtl/>
          <w:lang w:bidi="ar-IQ"/>
        </w:rPr>
        <w:t>نصت</w:t>
      </w:r>
      <w:r w:rsidRPr="006802D0">
        <w:rPr>
          <w:rFonts w:cs="Arial"/>
          <w:sz w:val="24"/>
          <w:szCs w:val="24"/>
          <w:rtl/>
          <w:lang w:bidi="ar-IQ"/>
        </w:rPr>
        <w:t xml:space="preserve"> </w:t>
      </w:r>
      <w:r w:rsidRPr="006802D0">
        <w:rPr>
          <w:rFonts w:cs="Arial" w:hint="cs"/>
          <w:sz w:val="24"/>
          <w:szCs w:val="24"/>
          <w:rtl/>
          <w:lang w:bidi="ar-IQ"/>
        </w:rPr>
        <w:t>المادة</w:t>
      </w:r>
      <w:r>
        <w:rPr>
          <w:rFonts w:cs="Arial"/>
          <w:sz w:val="24"/>
          <w:szCs w:val="24"/>
          <w:rtl/>
          <w:lang w:bidi="ar-IQ"/>
        </w:rPr>
        <w:t xml:space="preserve"> </w:t>
      </w:r>
      <w:r w:rsidRPr="006802D0">
        <w:rPr>
          <w:rFonts w:cs="Arial"/>
          <w:sz w:val="24"/>
          <w:szCs w:val="24"/>
          <w:rtl/>
          <w:lang w:bidi="ar-IQ"/>
        </w:rPr>
        <w:t xml:space="preserve">(22/ 2) </w:t>
      </w:r>
      <w:r w:rsidRPr="006802D0">
        <w:rPr>
          <w:rFonts w:cs="Arial" w:hint="cs"/>
          <w:sz w:val="24"/>
          <w:szCs w:val="24"/>
          <w:rtl/>
          <w:lang w:bidi="ar-IQ"/>
        </w:rPr>
        <w:t>من</w:t>
      </w:r>
      <w:r w:rsidRPr="006802D0">
        <w:rPr>
          <w:rFonts w:cs="Arial"/>
          <w:sz w:val="24"/>
          <w:szCs w:val="24"/>
          <w:rtl/>
          <w:lang w:bidi="ar-IQ"/>
        </w:rPr>
        <w:t xml:space="preserve"> </w:t>
      </w:r>
      <w:r w:rsidRPr="006802D0">
        <w:rPr>
          <w:rFonts w:cs="Arial" w:hint="cs"/>
          <w:sz w:val="24"/>
          <w:szCs w:val="24"/>
          <w:rtl/>
          <w:lang w:bidi="ar-IQ"/>
        </w:rPr>
        <w:t>قانون</w:t>
      </w:r>
      <w:r w:rsidRPr="006802D0">
        <w:rPr>
          <w:rFonts w:cs="Arial"/>
          <w:sz w:val="24"/>
          <w:szCs w:val="24"/>
          <w:rtl/>
          <w:lang w:bidi="ar-IQ"/>
        </w:rPr>
        <w:t xml:space="preserve"> </w:t>
      </w:r>
      <w:r w:rsidRPr="006802D0">
        <w:rPr>
          <w:rFonts w:cs="Arial" w:hint="cs"/>
          <w:sz w:val="24"/>
          <w:szCs w:val="24"/>
          <w:rtl/>
          <w:lang w:bidi="ar-IQ"/>
        </w:rPr>
        <w:t>الاثبات</w:t>
      </w:r>
      <w:r w:rsidRPr="006802D0">
        <w:rPr>
          <w:rFonts w:cs="Arial"/>
          <w:sz w:val="24"/>
          <w:szCs w:val="24"/>
          <w:rtl/>
          <w:lang w:bidi="ar-IQ"/>
        </w:rPr>
        <w:t xml:space="preserve"> </w:t>
      </w:r>
      <w:r w:rsidRPr="006802D0">
        <w:rPr>
          <w:rFonts w:cs="Arial" w:hint="cs"/>
          <w:sz w:val="24"/>
          <w:szCs w:val="24"/>
          <w:rtl/>
          <w:lang w:bidi="ar-IQ"/>
        </w:rPr>
        <w:t>العراقي</w:t>
      </w:r>
      <w:r w:rsidRPr="006802D0">
        <w:rPr>
          <w:rFonts w:cs="Arial"/>
          <w:sz w:val="24"/>
          <w:szCs w:val="24"/>
          <w:rtl/>
          <w:lang w:bidi="ar-IQ"/>
        </w:rPr>
        <w:t xml:space="preserve"> </w:t>
      </w:r>
      <w:r w:rsidRPr="006802D0">
        <w:rPr>
          <w:rFonts w:cs="Arial" w:hint="cs"/>
          <w:sz w:val="24"/>
          <w:szCs w:val="24"/>
          <w:rtl/>
          <w:lang w:bidi="ar-IQ"/>
        </w:rPr>
        <w:t>رقم</w:t>
      </w:r>
      <w:r w:rsidRPr="006802D0">
        <w:rPr>
          <w:rFonts w:cs="Arial"/>
          <w:sz w:val="24"/>
          <w:szCs w:val="24"/>
          <w:rtl/>
          <w:lang w:bidi="ar-IQ"/>
        </w:rPr>
        <w:t xml:space="preserve"> (107) </w:t>
      </w:r>
      <w:r w:rsidRPr="006802D0">
        <w:rPr>
          <w:rFonts w:cs="Arial" w:hint="cs"/>
          <w:sz w:val="24"/>
          <w:szCs w:val="24"/>
          <w:rtl/>
          <w:lang w:bidi="ar-IQ"/>
        </w:rPr>
        <w:t>لسنة</w:t>
      </w:r>
      <w:r w:rsidRPr="006802D0">
        <w:rPr>
          <w:rFonts w:cs="Arial"/>
          <w:sz w:val="24"/>
          <w:szCs w:val="24"/>
          <w:rtl/>
          <w:lang w:bidi="ar-IQ"/>
        </w:rPr>
        <w:t xml:space="preserve"> 1997 </w:t>
      </w:r>
      <w:r w:rsidRPr="006802D0">
        <w:rPr>
          <w:rFonts w:cs="Arial" w:hint="cs"/>
          <w:sz w:val="24"/>
          <w:szCs w:val="24"/>
          <w:rtl/>
          <w:lang w:bidi="ar-IQ"/>
        </w:rPr>
        <w:t>على</w:t>
      </w:r>
      <w:r w:rsidRPr="006802D0">
        <w:rPr>
          <w:rFonts w:cs="Arial"/>
          <w:sz w:val="24"/>
          <w:szCs w:val="24"/>
          <w:rtl/>
          <w:lang w:bidi="ar-IQ"/>
        </w:rPr>
        <w:t xml:space="preserve"> </w:t>
      </w:r>
      <w:r w:rsidRPr="006802D0">
        <w:rPr>
          <w:rFonts w:cs="Arial" w:hint="cs"/>
          <w:sz w:val="24"/>
          <w:szCs w:val="24"/>
          <w:rtl/>
          <w:lang w:bidi="ar-IQ"/>
        </w:rPr>
        <w:t>ان</w:t>
      </w:r>
      <w:r w:rsidRPr="006802D0">
        <w:rPr>
          <w:rFonts w:cs="Arial"/>
          <w:sz w:val="24"/>
          <w:szCs w:val="24"/>
          <w:rtl/>
          <w:lang w:bidi="ar-IQ"/>
        </w:rPr>
        <w:t xml:space="preserve"> </w:t>
      </w:r>
      <w:r>
        <w:rPr>
          <w:rFonts w:cs="Arial" w:hint="cs"/>
          <w:sz w:val="24"/>
          <w:szCs w:val="24"/>
          <w:rtl/>
          <w:lang w:bidi="ar-IQ"/>
        </w:rPr>
        <w:t xml:space="preserve">" </w:t>
      </w:r>
      <w:r w:rsidRPr="006802D0">
        <w:rPr>
          <w:rFonts w:cs="Arial" w:hint="cs"/>
          <w:sz w:val="24"/>
          <w:szCs w:val="24"/>
          <w:rtl/>
          <w:lang w:bidi="ar-IQ"/>
        </w:rPr>
        <w:t>تعتبر</w:t>
      </w:r>
      <w:r w:rsidRPr="006802D0">
        <w:rPr>
          <w:rFonts w:cs="Arial"/>
          <w:sz w:val="24"/>
          <w:szCs w:val="24"/>
          <w:rtl/>
          <w:lang w:bidi="ar-IQ"/>
        </w:rPr>
        <w:t xml:space="preserve"> </w:t>
      </w:r>
      <w:r w:rsidRPr="006802D0">
        <w:rPr>
          <w:rFonts w:cs="Arial" w:hint="cs"/>
          <w:sz w:val="24"/>
          <w:szCs w:val="24"/>
          <w:rtl/>
          <w:lang w:bidi="ar-IQ"/>
        </w:rPr>
        <w:t>من</w:t>
      </w:r>
      <w:r w:rsidRPr="006802D0">
        <w:rPr>
          <w:rFonts w:cs="Arial"/>
          <w:sz w:val="24"/>
          <w:szCs w:val="24"/>
          <w:rtl/>
          <w:lang w:bidi="ar-IQ"/>
        </w:rPr>
        <w:t xml:space="preserve"> </w:t>
      </w:r>
      <w:r w:rsidRPr="006802D0">
        <w:rPr>
          <w:rFonts w:cs="Arial" w:hint="cs"/>
          <w:sz w:val="24"/>
          <w:szCs w:val="24"/>
          <w:rtl/>
          <w:lang w:bidi="ar-IQ"/>
        </w:rPr>
        <w:t>قبل</w:t>
      </w:r>
      <w:r w:rsidRPr="006802D0">
        <w:rPr>
          <w:rFonts w:cs="Arial"/>
          <w:sz w:val="24"/>
          <w:szCs w:val="24"/>
          <w:rtl/>
          <w:lang w:bidi="ar-IQ"/>
        </w:rPr>
        <w:t xml:space="preserve"> </w:t>
      </w:r>
      <w:r w:rsidRPr="006802D0">
        <w:rPr>
          <w:rFonts w:cs="Arial" w:hint="cs"/>
          <w:sz w:val="24"/>
          <w:szCs w:val="24"/>
          <w:rtl/>
          <w:lang w:bidi="ar-IQ"/>
        </w:rPr>
        <w:t>السندات</w:t>
      </w:r>
      <w:r w:rsidRPr="006802D0">
        <w:rPr>
          <w:rFonts w:cs="Arial"/>
          <w:sz w:val="24"/>
          <w:szCs w:val="24"/>
          <w:rtl/>
          <w:lang w:bidi="ar-IQ"/>
        </w:rPr>
        <w:t xml:space="preserve"> </w:t>
      </w:r>
      <w:r w:rsidRPr="006802D0">
        <w:rPr>
          <w:rFonts w:cs="Arial" w:hint="cs"/>
          <w:sz w:val="24"/>
          <w:szCs w:val="24"/>
          <w:rtl/>
          <w:lang w:bidi="ar-IQ"/>
        </w:rPr>
        <w:t>الرسمية</w:t>
      </w:r>
      <w:r w:rsidRPr="006802D0">
        <w:rPr>
          <w:rFonts w:cs="Arial"/>
          <w:sz w:val="24"/>
          <w:szCs w:val="24"/>
          <w:rtl/>
          <w:lang w:bidi="ar-IQ"/>
        </w:rPr>
        <w:t xml:space="preserve"> </w:t>
      </w:r>
      <w:r w:rsidRPr="006802D0">
        <w:rPr>
          <w:rFonts w:cs="Arial" w:hint="cs"/>
          <w:sz w:val="24"/>
          <w:szCs w:val="24"/>
          <w:rtl/>
          <w:lang w:bidi="ar-IQ"/>
        </w:rPr>
        <w:t>،</w:t>
      </w:r>
      <w:r w:rsidRPr="006802D0">
        <w:rPr>
          <w:rFonts w:cs="Arial"/>
          <w:sz w:val="24"/>
          <w:szCs w:val="24"/>
          <w:rtl/>
          <w:lang w:bidi="ar-IQ"/>
        </w:rPr>
        <w:t xml:space="preserve"> </w:t>
      </w:r>
      <w:r w:rsidRPr="006802D0">
        <w:rPr>
          <w:rFonts w:cs="Arial" w:hint="cs"/>
          <w:sz w:val="24"/>
          <w:szCs w:val="24"/>
          <w:rtl/>
          <w:lang w:bidi="ar-IQ"/>
        </w:rPr>
        <w:t>شهادات</w:t>
      </w:r>
      <w:r w:rsidRPr="006802D0">
        <w:rPr>
          <w:rFonts w:cs="Arial"/>
          <w:sz w:val="24"/>
          <w:szCs w:val="24"/>
          <w:rtl/>
          <w:lang w:bidi="ar-IQ"/>
        </w:rPr>
        <w:t xml:space="preserve"> </w:t>
      </w:r>
      <w:r w:rsidRPr="006802D0">
        <w:rPr>
          <w:rFonts w:cs="Arial" w:hint="cs"/>
          <w:sz w:val="24"/>
          <w:szCs w:val="24"/>
          <w:rtl/>
          <w:lang w:bidi="ar-IQ"/>
        </w:rPr>
        <w:t>الجنسية</w:t>
      </w:r>
      <w:r w:rsidRPr="006802D0">
        <w:rPr>
          <w:rFonts w:cs="Arial"/>
          <w:sz w:val="24"/>
          <w:szCs w:val="24"/>
          <w:rtl/>
          <w:lang w:bidi="ar-IQ"/>
        </w:rPr>
        <w:t xml:space="preserve"> </w:t>
      </w:r>
      <w:r w:rsidRPr="006802D0">
        <w:rPr>
          <w:rFonts w:cs="Arial" w:hint="cs"/>
          <w:sz w:val="24"/>
          <w:szCs w:val="24"/>
          <w:rtl/>
          <w:lang w:bidi="ar-IQ"/>
        </w:rPr>
        <w:t>وبراءات</w:t>
      </w:r>
      <w:r w:rsidRPr="006802D0">
        <w:rPr>
          <w:rFonts w:cs="Arial"/>
          <w:sz w:val="24"/>
          <w:szCs w:val="24"/>
          <w:rtl/>
          <w:lang w:bidi="ar-IQ"/>
        </w:rPr>
        <w:t xml:space="preserve"> </w:t>
      </w:r>
      <w:r w:rsidRPr="006802D0">
        <w:rPr>
          <w:rFonts w:cs="Arial" w:hint="cs"/>
          <w:sz w:val="24"/>
          <w:szCs w:val="24"/>
          <w:rtl/>
          <w:lang w:bidi="ar-IQ"/>
        </w:rPr>
        <w:t>الاختراع</w:t>
      </w:r>
      <w:r w:rsidRPr="006802D0">
        <w:rPr>
          <w:rFonts w:cs="Arial"/>
          <w:sz w:val="24"/>
          <w:szCs w:val="24"/>
          <w:rtl/>
          <w:lang w:bidi="ar-IQ"/>
        </w:rPr>
        <w:t xml:space="preserve"> </w:t>
      </w:r>
      <w:r w:rsidRPr="006802D0">
        <w:rPr>
          <w:rFonts w:cs="Arial" w:hint="cs"/>
          <w:sz w:val="24"/>
          <w:szCs w:val="24"/>
          <w:rtl/>
          <w:lang w:bidi="ar-IQ"/>
        </w:rPr>
        <w:t>واحكام</w:t>
      </w:r>
      <w:r w:rsidRPr="006802D0">
        <w:rPr>
          <w:rFonts w:cs="Arial"/>
          <w:sz w:val="24"/>
          <w:szCs w:val="24"/>
          <w:rtl/>
          <w:lang w:bidi="ar-IQ"/>
        </w:rPr>
        <w:t xml:space="preserve"> </w:t>
      </w:r>
      <w:r w:rsidRPr="006802D0">
        <w:rPr>
          <w:rFonts w:cs="Arial" w:hint="cs"/>
          <w:sz w:val="24"/>
          <w:szCs w:val="24"/>
          <w:rtl/>
          <w:lang w:bidi="ar-IQ"/>
        </w:rPr>
        <w:t>المحاكم</w:t>
      </w:r>
      <w:r w:rsidRPr="006802D0">
        <w:rPr>
          <w:rFonts w:cs="Arial"/>
          <w:sz w:val="24"/>
          <w:szCs w:val="24"/>
          <w:rtl/>
          <w:lang w:bidi="ar-IQ"/>
        </w:rPr>
        <w:t xml:space="preserve"> </w:t>
      </w:r>
      <w:r w:rsidRPr="006802D0">
        <w:rPr>
          <w:rFonts w:cs="Arial" w:hint="cs"/>
          <w:sz w:val="24"/>
          <w:szCs w:val="24"/>
          <w:rtl/>
          <w:lang w:bidi="ar-IQ"/>
        </w:rPr>
        <w:t>وسجلات</w:t>
      </w:r>
      <w:r w:rsidRPr="006802D0">
        <w:rPr>
          <w:rFonts w:cs="Arial"/>
          <w:sz w:val="24"/>
          <w:szCs w:val="24"/>
          <w:rtl/>
          <w:lang w:bidi="ar-IQ"/>
        </w:rPr>
        <w:t xml:space="preserve"> </w:t>
      </w:r>
      <w:r w:rsidRPr="006802D0">
        <w:rPr>
          <w:rFonts w:cs="Arial" w:hint="cs"/>
          <w:sz w:val="24"/>
          <w:szCs w:val="24"/>
          <w:rtl/>
          <w:lang w:bidi="ar-IQ"/>
        </w:rPr>
        <w:t>التسجيل</w:t>
      </w:r>
      <w:r w:rsidRPr="006802D0">
        <w:rPr>
          <w:rFonts w:cs="Arial"/>
          <w:sz w:val="24"/>
          <w:szCs w:val="24"/>
          <w:rtl/>
          <w:lang w:bidi="ar-IQ"/>
        </w:rPr>
        <w:t xml:space="preserve"> </w:t>
      </w:r>
      <w:r w:rsidRPr="006802D0">
        <w:rPr>
          <w:rFonts w:cs="Arial" w:hint="cs"/>
          <w:sz w:val="24"/>
          <w:szCs w:val="24"/>
          <w:rtl/>
          <w:lang w:bidi="ar-IQ"/>
        </w:rPr>
        <w:t>العقاري</w:t>
      </w:r>
      <w:r w:rsidRPr="006802D0">
        <w:rPr>
          <w:rFonts w:cs="Arial"/>
          <w:sz w:val="24"/>
          <w:szCs w:val="24"/>
          <w:rtl/>
          <w:lang w:bidi="ar-IQ"/>
        </w:rPr>
        <w:t xml:space="preserve"> </w:t>
      </w:r>
      <w:r w:rsidRPr="006802D0">
        <w:rPr>
          <w:rFonts w:cs="Arial" w:hint="cs"/>
          <w:sz w:val="24"/>
          <w:szCs w:val="24"/>
          <w:rtl/>
          <w:lang w:bidi="ar-IQ"/>
        </w:rPr>
        <w:t>وما</w:t>
      </w:r>
      <w:r w:rsidRPr="006802D0">
        <w:rPr>
          <w:rFonts w:cs="Arial"/>
          <w:sz w:val="24"/>
          <w:szCs w:val="24"/>
          <w:rtl/>
          <w:lang w:bidi="ar-IQ"/>
        </w:rPr>
        <w:t xml:space="preserve"> </w:t>
      </w:r>
      <w:r w:rsidRPr="006802D0">
        <w:rPr>
          <w:rFonts w:cs="Arial" w:hint="cs"/>
          <w:sz w:val="24"/>
          <w:szCs w:val="24"/>
          <w:rtl/>
          <w:lang w:bidi="ar-IQ"/>
        </w:rPr>
        <w:t>هو</w:t>
      </w:r>
      <w:r w:rsidRPr="006802D0">
        <w:rPr>
          <w:rFonts w:cs="Arial"/>
          <w:sz w:val="24"/>
          <w:szCs w:val="24"/>
          <w:rtl/>
          <w:lang w:bidi="ar-IQ"/>
        </w:rPr>
        <w:t xml:space="preserve"> </w:t>
      </w:r>
      <w:r w:rsidRPr="006802D0">
        <w:rPr>
          <w:rFonts w:cs="Arial" w:hint="cs"/>
          <w:sz w:val="24"/>
          <w:szCs w:val="24"/>
          <w:rtl/>
          <w:lang w:bidi="ar-IQ"/>
        </w:rPr>
        <w:t>في</w:t>
      </w:r>
      <w:r w:rsidRPr="006802D0">
        <w:rPr>
          <w:rFonts w:cs="Arial"/>
          <w:sz w:val="24"/>
          <w:szCs w:val="24"/>
          <w:rtl/>
          <w:lang w:bidi="ar-IQ"/>
        </w:rPr>
        <w:t xml:space="preserve"> </w:t>
      </w:r>
      <w:r w:rsidRPr="006802D0">
        <w:rPr>
          <w:rFonts w:cs="Arial" w:hint="cs"/>
          <w:sz w:val="24"/>
          <w:szCs w:val="24"/>
          <w:rtl/>
          <w:lang w:bidi="ar-IQ"/>
        </w:rPr>
        <w:t>حكم</w:t>
      </w:r>
      <w:r w:rsidRPr="006802D0">
        <w:rPr>
          <w:rFonts w:cs="Arial"/>
          <w:sz w:val="24"/>
          <w:szCs w:val="24"/>
          <w:rtl/>
          <w:lang w:bidi="ar-IQ"/>
        </w:rPr>
        <w:t xml:space="preserve"> </w:t>
      </w:r>
      <w:r w:rsidRPr="006802D0">
        <w:rPr>
          <w:rFonts w:cs="Arial" w:hint="cs"/>
          <w:sz w:val="24"/>
          <w:szCs w:val="24"/>
          <w:rtl/>
          <w:lang w:bidi="ar-IQ"/>
        </w:rPr>
        <w:t>ذلك</w:t>
      </w:r>
      <w:r w:rsidRPr="006802D0">
        <w:rPr>
          <w:rFonts w:cs="Arial"/>
          <w:sz w:val="24"/>
          <w:szCs w:val="24"/>
          <w:rtl/>
          <w:lang w:bidi="ar-IQ"/>
        </w:rPr>
        <w:t xml:space="preserve"> </w:t>
      </w:r>
      <w:r>
        <w:rPr>
          <w:rFonts w:cs="Arial" w:hint="cs"/>
          <w:sz w:val="24"/>
          <w:szCs w:val="24"/>
          <w:rtl/>
          <w:lang w:bidi="ar-IQ"/>
        </w:rPr>
        <w:t>"</w:t>
      </w:r>
      <w:r w:rsidRPr="006802D0">
        <w:rPr>
          <w:rFonts w:cs="Arial"/>
          <w:sz w:val="24"/>
          <w:szCs w:val="24"/>
          <w:rtl/>
          <w:lang w:bidi="ar-IQ"/>
        </w:rPr>
        <w:t xml:space="preserve"> .</w:t>
      </w:r>
    </w:p>
  </w:footnote>
  <w:footnote w:id="7">
    <w:p w:rsidR="00184A5E" w:rsidRPr="006802D0" w:rsidRDefault="00184A5E" w:rsidP="00184A5E">
      <w:pPr>
        <w:pStyle w:val="aa"/>
        <w:rPr>
          <w:sz w:val="24"/>
          <w:szCs w:val="24"/>
          <w:rtl/>
          <w:lang w:bidi="ar-IQ"/>
        </w:rPr>
      </w:pPr>
      <w:r w:rsidRPr="006802D0">
        <w:rPr>
          <w:rFonts w:hint="cs"/>
          <w:sz w:val="24"/>
          <w:szCs w:val="24"/>
          <w:rtl/>
        </w:rPr>
        <w:t>(</w:t>
      </w:r>
      <w:r w:rsidRPr="006802D0">
        <w:rPr>
          <w:rStyle w:val="ab"/>
          <w:sz w:val="24"/>
          <w:szCs w:val="24"/>
        </w:rPr>
        <w:footnoteRef/>
      </w:r>
      <w:r w:rsidRPr="006802D0">
        <w:rPr>
          <w:rFonts w:hint="cs"/>
          <w:sz w:val="24"/>
          <w:szCs w:val="24"/>
          <w:rtl/>
        </w:rPr>
        <w:t>)</w:t>
      </w:r>
      <w:r w:rsidRPr="006802D0">
        <w:rPr>
          <w:rFonts w:cs="Arial" w:hint="cs"/>
          <w:sz w:val="24"/>
          <w:szCs w:val="24"/>
          <w:rtl/>
          <w:lang w:bidi="ar-IQ"/>
        </w:rPr>
        <w:t xml:space="preserve"> راجع</w:t>
      </w:r>
      <w:r w:rsidRPr="006802D0">
        <w:rPr>
          <w:rFonts w:cs="Arial"/>
          <w:sz w:val="24"/>
          <w:szCs w:val="24"/>
          <w:rtl/>
          <w:lang w:bidi="ar-IQ"/>
        </w:rPr>
        <w:t xml:space="preserve"> </w:t>
      </w:r>
      <w:r w:rsidRPr="006802D0">
        <w:rPr>
          <w:rFonts w:cs="Arial" w:hint="cs"/>
          <w:sz w:val="24"/>
          <w:szCs w:val="24"/>
          <w:rtl/>
          <w:lang w:bidi="ar-IQ"/>
        </w:rPr>
        <w:t>نص</w:t>
      </w:r>
      <w:r w:rsidRPr="006802D0">
        <w:rPr>
          <w:rFonts w:cs="Arial"/>
          <w:sz w:val="24"/>
          <w:szCs w:val="24"/>
          <w:rtl/>
          <w:lang w:bidi="ar-IQ"/>
        </w:rPr>
        <w:t xml:space="preserve"> </w:t>
      </w:r>
      <w:r w:rsidRPr="006802D0">
        <w:rPr>
          <w:rFonts w:cs="Arial" w:hint="cs"/>
          <w:sz w:val="24"/>
          <w:szCs w:val="24"/>
          <w:rtl/>
          <w:lang w:bidi="ar-IQ"/>
        </w:rPr>
        <w:t>المادة</w:t>
      </w:r>
      <w:r w:rsidRPr="006802D0">
        <w:rPr>
          <w:rFonts w:cs="Arial"/>
          <w:sz w:val="24"/>
          <w:szCs w:val="24"/>
          <w:rtl/>
          <w:lang w:bidi="ar-IQ"/>
        </w:rPr>
        <w:t xml:space="preserve"> (24) </w:t>
      </w:r>
      <w:r w:rsidRPr="006802D0">
        <w:rPr>
          <w:rFonts w:cs="Arial" w:hint="cs"/>
          <w:sz w:val="24"/>
          <w:szCs w:val="24"/>
          <w:rtl/>
          <w:lang w:bidi="ar-IQ"/>
        </w:rPr>
        <w:t>من</w:t>
      </w:r>
      <w:r w:rsidRPr="006802D0">
        <w:rPr>
          <w:rFonts w:cs="Arial"/>
          <w:sz w:val="24"/>
          <w:szCs w:val="24"/>
          <w:rtl/>
          <w:lang w:bidi="ar-IQ"/>
        </w:rPr>
        <w:t xml:space="preserve"> </w:t>
      </w:r>
      <w:r w:rsidRPr="006802D0">
        <w:rPr>
          <w:rFonts w:cs="Arial" w:hint="cs"/>
          <w:sz w:val="24"/>
          <w:szCs w:val="24"/>
          <w:rtl/>
          <w:lang w:bidi="ar-IQ"/>
        </w:rPr>
        <w:t>قانون</w:t>
      </w:r>
      <w:r w:rsidRPr="006802D0">
        <w:rPr>
          <w:rFonts w:cs="Arial"/>
          <w:sz w:val="24"/>
          <w:szCs w:val="24"/>
          <w:rtl/>
          <w:lang w:bidi="ar-IQ"/>
        </w:rPr>
        <w:t xml:space="preserve"> </w:t>
      </w:r>
      <w:r w:rsidRPr="006802D0">
        <w:rPr>
          <w:rFonts w:cs="Arial" w:hint="cs"/>
          <w:sz w:val="24"/>
          <w:szCs w:val="24"/>
          <w:rtl/>
          <w:lang w:bidi="ar-IQ"/>
        </w:rPr>
        <w:t>الجنسية</w:t>
      </w:r>
      <w:r w:rsidRPr="006802D0">
        <w:rPr>
          <w:rFonts w:cs="Arial"/>
          <w:sz w:val="24"/>
          <w:szCs w:val="24"/>
          <w:rtl/>
          <w:lang w:bidi="ar-IQ"/>
        </w:rPr>
        <w:t xml:space="preserve"> </w:t>
      </w:r>
      <w:r w:rsidRPr="006802D0">
        <w:rPr>
          <w:rFonts w:cs="Arial" w:hint="cs"/>
          <w:sz w:val="24"/>
          <w:szCs w:val="24"/>
          <w:rtl/>
          <w:lang w:bidi="ar-IQ"/>
        </w:rPr>
        <w:t>المصري</w:t>
      </w:r>
      <w:r w:rsidRPr="006802D0">
        <w:rPr>
          <w:rFonts w:cs="Arial"/>
          <w:sz w:val="24"/>
          <w:szCs w:val="24"/>
          <w:rtl/>
          <w:lang w:bidi="ar-IQ"/>
        </w:rPr>
        <w:t xml:space="preserve"> </w:t>
      </w:r>
      <w:r w:rsidRPr="006802D0">
        <w:rPr>
          <w:rFonts w:cs="Arial" w:hint="cs"/>
          <w:sz w:val="24"/>
          <w:szCs w:val="24"/>
          <w:rtl/>
          <w:lang w:bidi="ar-IQ"/>
        </w:rPr>
        <w:t>رقم</w:t>
      </w:r>
      <w:r w:rsidRPr="006802D0">
        <w:rPr>
          <w:rFonts w:cs="Arial"/>
          <w:sz w:val="24"/>
          <w:szCs w:val="24"/>
          <w:rtl/>
          <w:lang w:bidi="ar-IQ"/>
        </w:rPr>
        <w:t xml:space="preserve"> (26) </w:t>
      </w:r>
      <w:r w:rsidRPr="006802D0">
        <w:rPr>
          <w:rFonts w:cs="Arial" w:hint="cs"/>
          <w:sz w:val="24"/>
          <w:szCs w:val="24"/>
          <w:rtl/>
          <w:lang w:bidi="ar-IQ"/>
        </w:rPr>
        <w:t>لسنة</w:t>
      </w:r>
      <w:r w:rsidRPr="006802D0">
        <w:rPr>
          <w:rFonts w:cs="Arial"/>
          <w:sz w:val="24"/>
          <w:szCs w:val="24"/>
          <w:rtl/>
          <w:lang w:bidi="ar-IQ"/>
        </w:rPr>
        <w:t xml:space="preserve"> 1975 .</w:t>
      </w:r>
    </w:p>
  </w:footnote>
  <w:footnote w:id="8">
    <w:p w:rsidR="00184A5E" w:rsidRPr="006802D0" w:rsidRDefault="00184A5E" w:rsidP="00184A5E">
      <w:pPr>
        <w:pStyle w:val="aa"/>
        <w:jc w:val="both"/>
        <w:rPr>
          <w:sz w:val="24"/>
          <w:szCs w:val="24"/>
          <w:lang w:bidi="ar-IQ"/>
        </w:rPr>
      </w:pPr>
      <w:r w:rsidRPr="006802D0">
        <w:rPr>
          <w:rFonts w:hint="cs"/>
          <w:sz w:val="24"/>
          <w:szCs w:val="24"/>
          <w:rtl/>
        </w:rPr>
        <w:t>(</w:t>
      </w:r>
      <w:r w:rsidRPr="006802D0">
        <w:rPr>
          <w:rStyle w:val="ab"/>
          <w:sz w:val="24"/>
          <w:szCs w:val="24"/>
        </w:rPr>
        <w:footnoteRef/>
      </w:r>
      <w:r w:rsidRPr="006802D0">
        <w:rPr>
          <w:rFonts w:hint="cs"/>
          <w:sz w:val="24"/>
          <w:szCs w:val="24"/>
          <w:rtl/>
        </w:rPr>
        <w:t>)</w:t>
      </w:r>
      <w:r w:rsidRPr="006802D0">
        <w:rPr>
          <w:rFonts w:cs="Arial" w:hint="cs"/>
          <w:sz w:val="24"/>
          <w:szCs w:val="24"/>
          <w:rtl/>
          <w:lang w:bidi="ar-IQ"/>
        </w:rPr>
        <w:t xml:space="preserve"> د</w:t>
      </w:r>
      <w:r w:rsidRPr="006802D0">
        <w:rPr>
          <w:rFonts w:cs="Arial"/>
          <w:sz w:val="24"/>
          <w:szCs w:val="24"/>
          <w:rtl/>
          <w:lang w:bidi="ar-IQ"/>
        </w:rPr>
        <w:t xml:space="preserve">. </w:t>
      </w:r>
      <w:r w:rsidRPr="006802D0">
        <w:rPr>
          <w:rFonts w:cs="Arial" w:hint="cs"/>
          <w:sz w:val="24"/>
          <w:szCs w:val="24"/>
          <w:rtl/>
          <w:lang w:bidi="ar-IQ"/>
        </w:rPr>
        <w:t>عباس</w:t>
      </w:r>
      <w:r w:rsidRPr="006802D0">
        <w:rPr>
          <w:rFonts w:cs="Arial"/>
          <w:sz w:val="24"/>
          <w:szCs w:val="24"/>
          <w:rtl/>
          <w:lang w:bidi="ar-IQ"/>
        </w:rPr>
        <w:t xml:space="preserve"> </w:t>
      </w:r>
      <w:r w:rsidRPr="006802D0">
        <w:rPr>
          <w:rFonts w:cs="Arial" w:hint="cs"/>
          <w:sz w:val="24"/>
          <w:szCs w:val="24"/>
          <w:rtl/>
          <w:lang w:bidi="ar-IQ"/>
        </w:rPr>
        <w:t>العبودي</w:t>
      </w:r>
      <w:r w:rsidRPr="006802D0">
        <w:rPr>
          <w:rFonts w:cs="Arial"/>
          <w:sz w:val="24"/>
          <w:szCs w:val="24"/>
          <w:rtl/>
          <w:lang w:bidi="ar-IQ"/>
        </w:rPr>
        <w:t xml:space="preserve"> </w:t>
      </w:r>
      <w:r w:rsidRPr="006802D0">
        <w:rPr>
          <w:rFonts w:cs="Arial" w:hint="cs"/>
          <w:sz w:val="24"/>
          <w:szCs w:val="24"/>
          <w:rtl/>
          <w:lang w:bidi="ar-IQ"/>
        </w:rPr>
        <w:t>،</w:t>
      </w:r>
      <w:r w:rsidRPr="006802D0">
        <w:rPr>
          <w:rFonts w:cs="Arial"/>
          <w:sz w:val="24"/>
          <w:szCs w:val="24"/>
          <w:rtl/>
          <w:lang w:bidi="ar-IQ"/>
        </w:rPr>
        <w:t xml:space="preserve"> </w:t>
      </w:r>
      <w:r w:rsidRPr="006802D0">
        <w:rPr>
          <w:rFonts w:cs="Arial" w:hint="cs"/>
          <w:sz w:val="24"/>
          <w:szCs w:val="24"/>
          <w:rtl/>
          <w:lang w:bidi="ar-IQ"/>
        </w:rPr>
        <w:t>مصدر</w:t>
      </w:r>
      <w:r w:rsidRPr="006802D0">
        <w:rPr>
          <w:rFonts w:cs="Arial"/>
          <w:sz w:val="24"/>
          <w:szCs w:val="24"/>
          <w:rtl/>
          <w:lang w:bidi="ar-IQ"/>
        </w:rPr>
        <w:t xml:space="preserve"> </w:t>
      </w:r>
      <w:r w:rsidRPr="006802D0">
        <w:rPr>
          <w:rFonts w:cs="Arial" w:hint="cs"/>
          <w:sz w:val="24"/>
          <w:szCs w:val="24"/>
          <w:rtl/>
          <w:lang w:bidi="ar-IQ"/>
        </w:rPr>
        <w:t>سابق</w:t>
      </w:r>
      <w:r w:rsidRPr="006802D0">
        <w:rPr>
          <w:rFonts w:cs="Arial"/>
          <w:sz w:val="24"/>
          <w:szCs w:val="24"/>
          <w:rtl/>
          <w:lang w:bidi="ar-IQ"/>
        </w:rPr>
        <w:t xml:space="preserve"> </w:t>
      </w:r>
      <w:r w:rsidRPr="006802D0">
        <w:rPr>
          <w:rFonts w:cs="Arial" w:hint="cs"/>
          <w:sz w:val="24"/>
          <w:szCs w:val="24"/>
          <w:rtl/>
          <w:lang w:bidi="ar-IQ"/>
        </w:rPr>
        <w:t>،</w:t>
      </w:r>
      <w:r w:rsidRPr="006802D0">
        <w:rPr>
          <w:rFonts w:cs="Arial"/>
          <w:sz w:val="24"/>
          <w:szCs w:val="24"/>
          <w:rtl/>
          <w:lang w:bidi="ar-IQ"/>
        </w:rPr>
        <w:t xml:space="preserve"> </w:t>
      </w:r>
      <w:r w:rsidRPr="006802D0">
        <w:rPr>
          <w:rFonts w:cs="Arial" w:hint="cs"/>
          <w:sz w:val="24"/>
          <w:szCs w:val="24"/>
          <w:rtl/>
          <w:lang w:bidi="ar-IQ"/>
        </w:rPr>
        <w:t>ص</w:t>
      </w:r>
      <w:r w:rsidRPr="006802D0">
        <w:rPr>
          <w:rFonts w:cs="Arial"/>
          <w:sz w:val="24"/>
          <w:szCs w:val="24"/>
          <w:rtl/>
          <w:lang w:bidi="ar-IQ"/>
        </w:rPr>
        <w:t xml:space="preserve"> 16 .</w:t>
      </w:r>
    </w:p>
  </w:footnote>
  <w:footnote w:id="9">
    <w:p w:rsidR="00184A5E" w:rsidRPr="005609D5" w:rsidRDefault="00184A5E" w:rsidP="00184A5E">
      <w:pPr>
        <w:pStyle w:val="aa"/>
        <w:rPr>
          <w:sz w:val="24"/>
          <w:szCs w:val="24"/>
          <w:lang w:bidi="ar-IQ"/>
        </w:rPr>
      </w:pPr>
      <w:r w:rsidRPr="005609D5">
        <w:rPr>
          <w:rFonts w:hint="cs"/>
          <w:sz w:val="24"/>
          <w:szCs w:val="24"/>
          <w:rtl/>
        </w:rPr>
        <w:t>(</w:t>
      </w:r>
      <w:r w:rsidRPr="005609D5">
        <w:rPr>
          <w:rStyle w:val="ab"/>
          <w:sz w:val="24"/>
          <w:szCs w:val="24"/>
        </w:rPr>
        <w:footnoteRef/>
      </w:r>
      <w:r w:rsidRPr="005609D5">
        <w:rPr>
          <w:rFonts w:hint="cs"/>
          <w:sz w:val="24"/>
          <w:szCs w:val="24"/>
          <w:rtl/>
        </w:rPr>
        <w:t>)</w:t>
      </w:r>
      <w:r w:rsidRPr="005609D5">
        <w:rPr>
          <w:rFonts w:cs="Arial" w:hint="cs"/>
          <w:sz w:val="24"/>
          <w:szCs w:val="24"/>
          <w:rtl/>
          <w:lang w:bidi="ar-IQ"/>
        </w:rPr>
        <w:t xml:space="preserve"> د</w:t>
      </w:r>
      <w:r w:rsidRPr="005609D5">
        <w:rPr>
          <w:rFonts w:cs="Arial"/>
          <w:sz w:val="24"/>
          <w:szCs w:val="24"/>
          <w:rtl/>
          <w:lang w:bidi="ar-IQ"/>
        </w:rPr>
        <w:t xml:space="preserve">. </w:t>
      </w:r>
      <w:r w:rsidRPr="005609D5">
        <w:rPr>
          <w:rFonts w:cs="Arial" w:hint="cs"/>
          <w:sz w:val="24"/>
          <w:szCs w:val="24"/>
          <w:rtl/>
          <w:lang w:bidi="ar-IQ"/>
        </w:rPr>
        <w:t>عبد</w:t>
      </w:r>
      <w:r w:rsidRPr="005609D5">
        <w:rPr>
          <w:rFonts w:cs="Arial"/>
          <w:sz w:val="24"/>
          <w:szCs w:val="24"/>
          <w:rtl/>
          <w:lang w:bidi="ar-IQ"/>
        </w:rPr>
        <w:t xml:space="preserve"> </w:t>
      </w:r>
      <w:r w:rsidRPr="005609D5">
        <w:rPr>
          <w:rFonts w:cs="Arial" w:hint="cs"/>
          <w:sz w:val="24"/>
          <w:szCs w:val="24"/>
          <w:rtl/>
          <w:lang w:bidi="ar-IQ"/>
        </w:rPr>
        <w:t>الرسول</w:t>
      </w:r>
      <w:r w:rsidRPr="005609D5">
        <w:rPr>
          <w:rFonts w:cs="Arial"/>
          <w:sz w:val="24"/>
          <w:szCs w:val="24"/>
          <w:rtl/>
          <w:lang w:bidi="ar-IQ"/>
        </w:rPr>
        <w:t xml:space="preserve"> </w:t>
      </w:r>
      <w:r w:rsidRPr="005609D5">
        <w:rPr>
          <w:rFonts w:cs="Arial" w:hint="cs"/>
          <w:sz w:val="24"/>
          <w:szCs w:val="24"/>
          <w:rtl/>
          <w:lang w:bidi="ar-IQ"/>
        </w:rPr>
        <w:t>عبد</w:t>
      </w:r>
      <w:r w:rsidRPr="005609D5">
        <w:rPr>
          <w:rFonts w:cs="Arial"/>
          <w:sz w:val="24"/>
          <w:szCs w:val="24"/>
          <w:rtl/>
          <w:lang w:bidi="ar-IQ"/>
        </w:rPr>
        <w:t xml:space="preserve"> </w:t>
      </w:r>
      <w:r w:rsidRPr="005609D5">
        <w:rPr>
          <w:rFonts w:cs="Arial" w:hint="cs"/>
          <w:sz w:val="24"/>
          <w:szCs w:val="24"/>
          <w:rtl/>
          <w:lang w:bidi="ar-IQ"/>
        </w:rPr>
        <w:t>الرضا</w:t>
      </w:r>
      <w:r w:rsidRPr="005609D5">
        <w:rPr>
          <w:rFonts w:cs="Arial"/>
          <w:sz w:val="24"/>
          <w:szCs w:val="24"/>
          <w:rtl/>
          <w:lang w:bidi="ar-IQ"/>
        </w:rPr>
        <w:t xml:space="preserve"> </w:t>
      </w:r>
      <w:r w:rsidRPr="005609D5">
        <w:rPr>
          <w:rFonts w:cs="Arial" w:hint="cs"/>
          <w:sz w:val="24"/>
          <w:szCs w:val="24"/>
          <w:rtl/>
          <w:lang w:bidi="ar-IQ"/>
        </w:rPr>
        <w:t>،</w:t>
      </w:r>
      <w:r w:rsidRPr="005609D5">
        <w:rPr>
          <w:rFonts w:cs="Arial"/>
          <w:sz w:val="24"/>
          <w:szCs w:val="24"/>
          <w:rtl/>
          <w:lang w:bidi="ar-IQ"/>
        </w:rPr>
        <w:t xml:space="preserve"> </w:t>
      </w:r>
      <w:r w:rsidRPr="005609D5">
        <w:rPr>
          <w:rFonts w:cs="Arial" w:hint="cs"/>
          <w:sz w:val="24"/>
          <w:szCs w:val="24"/>
          <w:rtl/>
          <w:lang w:bidi="ar-IQ"/>
        </w:rPr>
        <w:t>مصدر</w:t>
      </w:r>
      <w:r w:rsidRPr="005609D5">
        <w:rPr>
          <w:rFonts w:cs="Arial"/>
          <w:sz w:val="24"/>
          <w:szCs w:val="24"/>
          <w:rtl/>
          <w:lang w:bidi="ar-IQ"/>
        </w:rPr>
        <w:t xml:space="preserve"> </w:t>
      </w:r>
      <w:r w:rsidRPr="005609D5">
        <w:rPr>
          <w:rFonts w:cs="Arial" w:hint="cs"/>
          <w:sz w:val="24"/>
          <w:szCs w:val="24"/>
          <w:rtl/>
          <w:lang w:bidi="ar-IQ"/>
        </w:rPr>
        <w:t>سابق</w:t>
      </w:r>
      <w:r w:rsidRPr="005609D5">
        <w:rPr>
          <w:rFonts w:cs="Arial"/>
          <w:sz w:val="24"/>
          <w:szCs w:val="24"/>
          <w:rtl/>
          <w:lang w:bidi="ar-IQ"/>
        </w:rPr>
        <w:t xml:space="preserve"> </w:t>
      </w:r>
      <w:r w:rsidRPr="005609D5">
        <w:rPr>
          <w:rFonts w:cs="Arial" w:hint="cs"/>
          <w:sz w:val="24"/>
          <w:szCs w:val="24"/>
          <w:rtl/>
          <w:lang w:bidi="ar-IQ"/>
        </w:rPr>
        <w:t>،</w:t>
      </w:r>
      <w:r w:rsidRPr="005609D5">
        <w:rPr>
          <w:rFonts w:cs="Arial"/>
          <w:sz w:val="24"/>
          <w:szCs w:val="24"/>
          <w:rtl/>
          <w:lang w:bidi="ar-IQ"/>
        </w:rPr>
        <w:t xml:space="preserve"> </w:t>
      </w:r>
      <w:r w:rsidRPr="005609D5">
        <w:rPr>
          <w:rFonts w:cs="Arial" w:hint="cs"/>
          <w:sz w:val="24"/>
          <w:szCs w:val="24"/>
          <w:rtl/>
          <w:lang w:bidi="ar-IQ"/>
        </w:rPr>
        <w:t>ص</w:t>
      </w:r>
      <w:r w:rsidRPr="005609D5">
        <w:rPr>
          <w:rFonts w:cs="Arial"/>
          <w:sz w:val="24"/>
          <w:szCs w:val="24"/>
          <w:rtl/>
          <w:lang w:bidi="ar-IQ"/>
        </w:rPr>
        <w:t xml:space="preserve"> 154</w:t>
      </w:r>
      <w:r w:rsidRPr="005609D5">
        <w:rPr>
          <w:rFonts w:hint="cs"/>
          <w:sz w:val="24"/>
          <w:szCs w:val="24"/>
          <w:rtl/>
          <w:lang w:bidi="ar-IQ"/>
        </w:rPr>
        <w:t>.</w:t>
      </w:r>
    </w:p>
  </w:footnote>
  <w:footnote w:id="10">
    <w:p w:rsidR="00184A5E" w:rsidRPr="005609D5" w:rsidRDefault="00184A5E" w:rsidP="00184A5E">
      <w:pPr>
        <w:pStyle w:val="aa"/>
        <w:rPr>
          <w:sz w:val="24"/>
          <w:szCs w:val="24"/>
          <w:lang w:bidi="ar-IQ"/>
        </w:rPr>
      </w:pPr>
      <w:r w:rsidRPr="005609D5">
        <w:rPr>
          <w:rFonts w:hint="cs"/>
          <w:sz w:val="24"/>
          <w:szCs w:val="24"/>
          <w:rtl/>
        </w:rPr>
        <w:t>(</w:t>
      </w:r>
      <w:r w:rsidRPr="005609D5">
        <w:rPr>
          <w:rStyle w:val="ab"/>
          <w:sz w:val="24"/>
          <w:szCs w:val="24"/>
        </w:rPr>
        <w:footnoteRef/>
      </w:r>
      <w:r w:rsidRPr="005609D5">
        <w:rPr>
          <w:rFonts w:hint="cs"/>
          <w:sz w:val="24"/>
          <w:szCs w:val="24"/>
          <w:rtl/>
        </w:rPr>
        <w:t>)</w:t>
      </w:r>
      <w:r w:rsidRPr="005609D5">
        <w:rPr>
          <w:rFonts w:cs="Arial" w:hint="cs"/>
          <w:sz w:val="24"/>
          <w:szCs w:val="24"/>
          <w:rtl/>
          <w:lang w:bidi="ar-IQ"/>
        </w:rPr>
        <w:t xml:space="preserve"> د</w:t>
      </w:r>
      <w:r w:rsidRPr="005609D5">
        <w:rPr>
          <w:rFonts w:cs="Arial"/>
          <w:sz w:val="24"/>
          <w:szCs w:val="24"/>
          <w:rtl/>
          <w:lang w:bidi="ar-IQ"/>
        </w:rPr>
        <w:t xml:space="preserve"> . </w:t>
      </w:r>
      <w:r w:rsidRPr="005609D5">
        <w:rPr>
          <w:rFonts w:cs="Arial" w:hint="cs"/>
          <w:sz w:val="24"/>
          <w:szCs w:val="24"/>
          <w:rtl/>
          <w:lang w:bidi="ar-IQ"/>
        </w:rPr>
        <w:t>عبد</w:t>
      </w:r>
      <w:r w:rsidRPr="005609D5">
        <w:rPr>
          <w:rFonts w:cs="Arial"/>
          <w:sz w:val="24"/>
          <w:szCs w:val="24"/>
          <w:rtl/>
          <w:lang w:bidi="ar-IQ"/>
        </w:rPr>
        <w:t xml:space="preserve"> </w:t>
      </w:r>
      <w:r w:rsidRPr="005609D5">
        <w:rPr>
          <w:rFonts w:cs="Arial" w:hint="cs"/>
          <w:sz w:val="24"/>
          <w:szCs w:val="24"/>
          <w:rtl/>
          <w:lang w:bidi="ar-IQ"/>
        </w:rPr>
        <w:t>الرسول</w:t>
      </w:r>
      <w:r w:rsidRPr="005609D5">
        <w:rPr>
          <w:rFonts w:cs="Arial"/>
          <w:sz w:val="24"/>
          <w:szCs w:val="24"/>
          <w:rtl/>
          <w:lang w:bidi="ar-IQ"/>
        </w:rPr>
        <w:t xml:space="preserve"> </w:t>
      </w:r>
      <w:r w:rsidRPr="005609D5">
        <w:rPr>
          <w:rFonts w:cs="Arial" w:hint="cs"/>
          <w:sz w:val="24"/>
          <w:szCs w:val="24"/>
          <w:rtl/>
          <w:lang w:bidi="ar-IQ"/>
        </w:rPr>
        <w:t>عبد</w:t>
      </w:r>
      <w:r w:rsidRPr="005609D5">
        <w:rPr>
          <w:rFonts w:cs="Arial"/>
          <w:sz w:val="24"/>
          <w:szCs w:val="24"/>
          <w:rtl/>
          <w:lang w:bidi="ar-IQ"/>
        </w:rPr>
        <w:t xml:space="preserve"> </w:t>
      </w:r>
      <w:r w:rsidRPr="005609D5">
        <w:rPr>
          <w:rFonts w:cs="Arial" w:hint="cs"/>
          <w:sz w:val="24"/>
          <w:szCs w:val="24"/>
          <w:rtl/>
          <w:lang w:bidi="ar-IQ"/>
        </w:rPr>
        <w:t>الرضا</w:t>
      </w:r>
      <w:r w:rsidRPr="005609D5">
        <w:rPr>
          <w:rFonts w:cs="Arial"/>
          <w:sz w:val="24"/>
          <w:szCs w:val="24"/>
          <w:rtl/>
          <w:lang w:bidi="ar-IQ"/>
        </w:rPr>
        <w:t xml:space="preserve"> </w:t>
      </w:r>
      <w:r w:rsidRPr="005609D5">
        <w:rPr>
          <w:rFonts w:cs="Arial" w:hint="cs"/>
          <w:sz w:val="24"/>
          <w:szCs w:val="24"/>
          <w:rtl/>
          <w:lang w:bidi="ar-IQ"/>
        </w:rPr>
        <w:t>،</w:t>
      </w:r>
      <w:r w:rsidRPr="005609D5">
        <w:rPr>
          <w:rFonts w:cs="Arial"/>
          <w:sz w:val="24"/>
          <w:szCs w:val="24"/>
          <w:rtl/>
          <w:lang w:bidi="ar-IQ"/>
        </w:rPr>
        <w:t xml:space="preserve"> </w:t>
      </w:r>
      <w:r w:rsidRPr="005609D5">
        <w:rPr>
          <w:rFonts w:cs="Arial" w:hint="cs"/>
          <w:sz w:val="24"/>
          <w:szCs w:val="24"/>
          <w:rtl/>
          <w:lang w:bidi="ar-IQ"/>
        </w:rPr>
        <w:t>مصدر</w:t>
      </w:r>
      <w:r w:rsidRPr="005609D5">
        <w:rPr>
          <w:rFonts w:cs="Arial"/>
          <w:sz w:val="24"/>
          <w:szCs w:val="24"/>
          <w:rtl/>
          <w:lang w:bidi="ar-IQ"/>
        </w:rPr>
        <w:t xml:space="preserve"> </w:t>
      </w:r>
      <w:r w:rsidRPr="005609D5">
        <w:rPr>
          <w:rFonts w:cs="Arial" w:hint="cs"/>
          <w:sz w:val="24"/>
          <w:szCs w:val="24"/>
          <w:rtl/>
          <w:lang w:bidi="ar-IQ"/>
        </w:rPr>
        <w:t>سابق</w:t>
      </w:r>
      <w:r w:rsidRPr="005609D5">
        <w:rPr>
          <w:rFonts w:cs="Arial"/>
          <w:sz w:val="24"/>
          <w:szCs w:val="24"/>
          <w:rtl/>
          <w:lang w:bidi="ar-IQ"/>
        </w:rPr>
        <w:t xml:space="preserve"> </w:t>
      </w:r>
      <w:r w:rsidRPr="005609D5">
        <w:rPr>
          <w:rFonts w:cs="Arial" w:hint="cs"/>
          <w:sz w:val="24"/>
          <w:szCs w:val="24"/>
          <w:rtl/>
          <w:lang w:bidi="ar-IQ"/>
        </w:rPr>
        <w:t>،</w:t>
      </w:r>
      <w:r w:rsidRPr="005609D5">
        <w:rPr>
          <w:rFonts w:cs="Arial"/>
          <w:sz w:val="24"/>
          <w:szCs w:val="24"/>
          <w:rtl/>
          <w:lang w:bidi="ar-IQ"/>
        </w:rPr>
        <w:t xml:space="preserve"> </w:t>
      </w:r>
      <w:r w:rsidRPr="005609D5">
        <w:rPr>
          <w:rFonts w:cs="Arial" w:hint="cs"/>
          <w:sz w:val="24"/>
          <w:szCs w:val="24"/>
          <w:rtl/>
          <w:lang w:bidi="ar-IQ"/>
        </w:rPr>
        <w:t>ص</w:t>
      </w:r>
      <w:r w:rsidRPr="005609D5">
        <w:rPr>
          <w:rFonts w:cs="Arial"/>
          <w:sz w:val="24"/>
          <w:szCs w:val="24"/>
          <w:rtl/>
          <w:lang w:bidi="ar-IQ"/>
        </w:rPr>
        <w:t xml:space="preserve"> 155 .</w:t>
      </w:r>
    </w:p>
  </w:footnote>
  <w:footnote w:id="11">
    <w:p w:rsidR="00184A5E" w:rsidRPr="005609D5" w:rsidRDefault="00184A5E" w:rsidP="00184A5E">
      <w:pPr>
        <w:pStyle w:val="aa"/>
        <w:rPr>
          <w:sz w:val="24"/>
          <w:szCs w:val="24"/>
          <w:lang w:bidi="ar-IQ"/>
        </w:rPr>
      </w:pPr>
      <w:r w:rsidRPr="005609D5">
        <w:rPr>
          <w:rFonts w:hint="cs"/>
          <w:sz w:val="24"/>
          <w:szCs w:val="24"/>
          <w:rtl/>
        </w:rPr>
        <w:t>(</w:t>
      </w:r>
      <w:r w:rsidRPr="005609D5">
        <w:rPr>
          <w:rStyle w:val="ab"/>
          <w:sz w:val="24"/>
          <w:szCs w:val="24"/>
        </w:rPr>
        <w:footnoteRef/>
      </w:r>
      <w:r w:rsidRPr="005609D5">
        <w:rPr>
          <w:rFonts w:hint="cs"/>
          <w:sz w:val="24"/>
          <w:szCs w:val="24"/>
          <w:rtl/>
        </w:rPr>
        <w:t>)</w:t>
      </w:r>
      <w:r w:rsidRPr="005609D5">
        <w:rPr>
          <w:rFonts w:cs="Arial" w:hint="cs"/>
          <w:sz w:val="24"/>
          <w:szCs w:val="24"/>
          <w:rtl/>
          <w:lang w:bidi="ar-IQ"/>
        </w:rPr>
        <w:t xml:space="preserve"> د</w:t>
      </w:r>
      <w:r w:rsidRPr="005609D5">
        <w:rPr>
          <w:rFonts w:cs="Arial"/>
          <w:sz w:val="24"/>
          <w:szCs w:val="24"/>
          <w:rtl/>
          <w:lang w:bidi="ar-IQ"/>
        </w:rPr>
        <w:t xml:space="preserve">. </w:t>
      </w:r>
      <w:r w:rsidRPr="005609D5">
        <w:rPr>
          <w:rFonts w:cs="Arial" w:hint="cs"/>
          <w:sz w:val="24"/>
          <w:szCs w:val="24"/>
          <w:rtl/>
          <w:lang w:bidi="ar-IQ"/>
        </w:rPr>
        <w:t>عباس</w:t>
      </w:r>
      <w:r w:rsidRPr="005609D5">
        <w:rPr>
          <w:rFonts w:cs="Arial"/>
          <w:sz w:val="24"/>
          <w:szCs w:val="24"/>
          <w:rtl/>
          <w:lang w:bidi="ar-IQ"/>
        </w:rPr>
        <w:t xml:space="preserve"> </w:t>
      </w:r>
      <w:r w:rsidRPr="005609D5">
        <w:rPr>
          <w:rFonts w:cs="Arial" w:hint="cs"/>
          <w:sz w:val="24"/>
          <w:szCs w:val="24"/>
          <w:rtl/>
          <w:lang w:bidi="ar-IQ"/>
        </w:rPr>
        <w:t>العبودي</w:t>
      </w:r>
      <w:r w:rsidRPr="005609D5">
        <w:rPr>
          <w:rFonts w:cs="Arial"/>
          <w:sz w:val="24"/>
          <w:szCs w:val="24"/>
          <w:rtl/>
          <w:lang w:bidi="ar-IQ"/>
        </w:rPr>
        <w:t xml:space="preserve"> </w:t>
      </w:r>
      <w:r w:rsidRPr="005609D5">
        <w:rPr>
          <w:rFonts w:cs="Arial" w:hint="cs"/>
          <w:sz w:val="24"/>
          <w:szCs w:val="24"/>
          <w:rtl/>
          <w:lang w:bidi="ar-IQ"/>
        </w:rPr>
        <w:t>،</w:t>
      </w:r>
      <w:r w:rsidRPr="005609D5">
        <w:rPr>
          <w:rFonts w:cs="Arial"/>
          <w:sz w:val="24"/>
          <w:szCs w:val="24"/>
          <w:rtl/>
          <w:lang w:bidi="ar-IQ"/>
        </w:rPr>
        <w:t xml:space="preserve"> </w:t>
      </w:r>
      <w:r w:rsidRPr="005609D5">
        <w:rPr>
          <w:rFonts w:cs="Arial" w:hint="cs"/>
          <w:sz w:val="24"/>
          <w:szCs w:val="24"/>
          <w:rtl/>
          <w:lang w:bidi="ar-IQ"/>
        </w:rPr>
        <w:t>مصدر</w:t>
      </w:r>
      <w:r w:rsidRPr="005609D5">
        <w:rPr>
          <w:rFonts w:cs="Arial"/>
          <w:sz w:val="24"/>
          <w:szCs w:val="24"/>
          <w:rtl/>
          <w:lang w:bidi="ar-IQ"/>
        </w:rPr>
        <w:t xml:space="preserve"> </w:t>
      </w:r>
      <w:r w:rsidRPr="005609D5">
        <w:rPr>
          <w:rFonts w:cs="Arial" w:hint="cs"/>
          <w:sz w:val="24"/>
          <w:szCs w:val="24"/>
          <w:rtl/>
          <w:lang w:bidi="ar-IQ"/>
        </w:rPr>
        <w:t>سابق</w:t>
      </w:r>
      <w:r w:rsidRPr="005609D5">
        <w:rPr>
          <w:rFonts w:cs="Arial"/>
          <w:sz w:val="24"/>
          <w:szCs w:val="24"/>
          <w:rtl/>
          <w:lang w:bidi="ar-IQ"/>
        </w:rPr>
        <w:t xml:space="preserve"> </w:t>
      </w:r>
      <w:r w:rsidRPr="005609D5">
        <w:rPr>
          <w:rFonts w:cs="Arial" w:hint="cs"/>
          <w:sz w:val="24"/>
          <w:szCs w:val="24"/>
          <w:rtl/>
          <w:lang w:bidi="ar-IQ"/>
        </w:rPr>
        <w:t>،</w:t>
      </w:r>
      <w:r w:rsidRPr="005609D5">
        <w:rPr>
          <w:rFonts w:cs="Arial"/>
          <w:sz w:val="24"/>
          <w:szCs w:val="24"/>
          <w:rtl/>
          <w:lang w:bidi="ar-IQ"/>
        </w:rPr>
        <w:t xml:space="preserve"> </w:t>
      </w:r>
      <w:r w:rsidRPr="005609D5">
        <w:rPr>
          <w:rFonts w:cs="Arial" w:hint="cs"/>
          <w:sz w:val="24"/>
          <w:szCs w:val="24"/>
          <w:rtl/>
          <w:lang w:bidi="ar-IQ"/>
        </w:rPr>
        <w:t>ص</w:t>
      </w:r>
      <w:r w:rsidRPr="005609D5">
        <w:rPr>
          <w:rFonts w:cs="Arial"/>
          <w:sz w:val="24"/>
          <w:szCs w:val="24"/>
          <w:rtl/>
          <w:lang w:bidi="ar-IQ"/>
        </w:rPr>
        <w:t xml:space="preserve"> 164 .</w:t>
      </w:r>
    </w:p>
  </w:footnote>
  <w:footnote w:id="12">
    <w:p w:rsidR="00184A5E" w:rsidRPr="005609D5" w:rsidRDefault="00184A5E" w:rsidP="00184A5E">
      <w:pPr>
        <w:pStyle w:val="aa"/>
        <w:jc w:val="both"/>
        <w:rPr>
          <w:sz w:val="24"/>
          <w:szCs w:val="24"/>
          <w:rtl/>
          <w:lang w:bidi="ar-IQ"/>
        </w:rPr>
      </w:pPr>
      <w:r w:rsidRPr="005609D5">
        <w:rPr>
          <w:rFonts w:hint="cs"/>
          <w:sz w:val="24"/>
          <w:szCs w:val="24"/>
          <w:rtl/>
        </w:rPr>
        <w:t>(</w:t>
      </w:r>
      <w:r w:rsidRPr="005609D5">
        <w:rPr>
          <w:rStyle w:val="ab"/>
          <w:sz w:val="24"/>
          <w:szCs w:val="24"/>
        </w:rPr>
        <w:footnoteRef/>
      </w:r>
      <w:r w:rsidRPr="005609D5">
        <w:rPr>
          <w:rFonts w:hint="cs"/>
          <w:sz w:val="24"/>
          <w:szCs w:val="24"/>
          <w:rtl/>
        </w:rPr>
        <w:t xml:space="preserve">) </w:t>
      </w:r>
      <w:r w:rsidRPr="005609D5">
        <w:rPr>
          <w:rFonts w:cs="Arial" w:hint="cs"/>
          <w:sz w:val="24"/>
          <w:szCs w:val="24"/>
          <w:rtl/>
          <w:lang w:bidi="ar-IQ"/>
        </w:rPr>
        <w:t>نصت</w:t>
      </w:r>
      <w:r w:rsidRPr="005609D5">
        <w:rPr>
          <w:rFonts w:cs="Arial"/>
          <w:sz w:val="24"/>
          <w:szCs w:val="24"/>
          <w:rtl/>
          <w:lang w:bidi="ar-IQ"/>
        </w:rPr>
        <w:t xml:space="preserve"> </w:t>
      </w:r>
      <w:r w:rsidRPr="005609D5">
        <w:rPr>
          <w:rFonts w:cs="Arial" w:hint="cs"/>
          <w:sz w:val="24"/>
          <w:szCs w:val="24"/>
          <w:rtl/>
          <w:lang w:bidi="ar-IQ"/>
        </w:rPr>
        <w:t>الفقرة</w:t>
      </w:r>
      <w:r w:rsidRPr="005609D5">
        <w:rPr>
          <w:rFonts w:cs="Arial"/>
          <w:sz w:val="24"/>
          <w:szCs w:val="24"/>
          <w:rtl/>
          <w:lang w:bidi="ar-IQ"/>
        </w:rPr>
        <w:t xml:space="preserve"> </w:t>
      </w:r>
      <w:r w:rsidRPr="005609D5">
        <w:rPr>
          <w:rFonts w:cs="Arial" w:hint="cs"/>
          <w:sz w:val="24"/>
          <w:szCs w:val="24"/>
          <w:rtl/>
          <w:lang w:bidi="ar-IQ"/>
        </w:rPr>
        <w:t>ثانيا</w:t>
      </w:r>
      <w:r w:rsidRPr="005609D5">
        <w:rPr>
          <w:rFonts w:cs="Arial"/>
          <w:sz w:val="24"/>
          <w:szCs w:val="24"/>
          <w:rtl/>
          <w:lang w:bidi="ar-IQ"/>
        </w:rPr>
        <w:t xml:space="preserve"> </w:t>
      </w:r>
      <w:r w:rsidRPr="005609D5">
        <w:rPr>
          <w:rFonts w:cs="Arial" w:hint="cs"/>
          <w:sz w:val="24"/>
          <w:szCs w:val="24"/>
          <w:rtl/>
          <w:lang w:bidi="ar-IQ"/>
        </w:rPr>
        <w:t>من</w:t>
      </w:r>
      <w:r w:rsidRPr="005609D5">
        <w:rPr>
          <w:rFonts w:cs="Arial"/>
          <w:sz w:val="24"/>
          <w:szCs w:val="24"/>
          <w:rtl/>
          <w:lang w:bidi="ar-IQ"/>
        </w:rPr>
        <w:t xml:space="preserve"> </w:t>
      </w:r>
      <w:r w:rsidRPr="005609D5">
        <w:rPr>
          <w:rFonts w:cs="Arial" w:hint="cs"/>
          <w:sz w:val="24"/>
          <w:szCs w:val="24"/>
          <w:rtl/>
          <w:lang w:bidi="ar-IQ"/>
        </w:rPr>
        <w:t>المادة</w:t>
      </w:r>
      <w:r w:rsidRPr="005609D5">
        <w:rPr>
          <w:rFonts w:cs="Arial"/>
          <w:sz w:val="24"/>
          <w:szCs w:val="24"/>
          <w:rtl/>
          <w:lang w:bidi="ar-IQ"/>
        </w:rPr>
        <w:t xml:space="preserve">  (98)  </w:t>
      </w:r>
      <w:r w:rsidRPr="005609D5">
        <w:rPr>
          <w:rFonts w:cs="Arial" w:hint="cs"/>
          <w:sz w:val="24"/>
          <w:szCs w:val="24"/>
          <w:rtl/>
          <w:lang w:bidi="ar-IQ"/>
        </w:rPr>
        <w:t>من</w:t>
      </w:r>
      <w:r w:rsidRPr="005609D5">
        <w:rPr>
          <w:rFonts w:cs="Arial"/>
          <w:sz w:val="24"/>
          <w:szCs w:val="24"/>
          <w:rtl/>
          <w:lang w:bidi="ar-IQ"/>
        </w:rPr>
        <w:t xml:space="preserve"> </w:t>
      </w:r>
      <w:r w:rsidRPr="005609D5">
        <w:rPr>
          <w:rFonts w:cs="Arial" w:hint="cs"/>
          <w:sz w:val="24"/>
          <w:szCs w:val="24"/>
          <w:rtl/>
          <w:lang w:bidi="ar-IQ"/>
        </w:rPr>
        <w:t>قانون</w:t>
      </w:r>
      <w:r w:rsidRPr="005609D5">
        <w:rPr>
          <w:rFonts w:cs="Arial"/>
          <w:sz w:val="24"/>
          <w:szCs w:val="24"/>
          <w:rtl/>
          <w:lang w:bidi="ar-IQ"/>
        </w:rPr>
        <w:t xml:space="preserve"> </w:t>
      </w:r>
      <w:r w:rsidRPr="005609D5">
        <w:rPr>
          <w:rFonts w:cs="Arial" w:hint="cs"/>
          <w:sz w:val="24"/>
          <w:szCs w:val="24"/>
          <w:rtl/>
          <w:lang w:bidi="ar-IQ"/>
        </w:rPr>
        <w:t>الاثبات</w:t>
      </w:r>
      <w:r w:rsidRPr="005609D5">
        <w:rPr>
          <w:rFonts w:cs="Arial"/>
          <w:sz w:val="24"/>
          <w:szCs w:val="24"/>
          <w:rtl/>
          <w:lang w:bidi="ar-IQ"/>
        </w:rPr>
        <w:t xml:space="preserve"> </w:t>
      </w:r>
      <w:r w:rsidRPr="005609D5">
        <w:rPr>
          <w:rFonts w:cs="Arial" w:hint="cs"/>
          <w:sz w:val="24"/>
          <w:szCs w:val="24"/>
          <w:rtl/>
          <w:lang w:bidi="ar-IQ"/>
        </w:rPr>
        <w:t>العراقي</w:t>
      </w:r>
      <w:r w:rsidRPr="005609D5">
        <w:rPr>
          <w:rFonts w:cs="Arial"/>
          <w:sz w:val="24"/>
          <w:szCs w:val="24"/>
          <w:rtl/>
          <w:lang w:bidi="ar-IQ"/>
        </w:rPr>
        <w:t xml:space="preserve"> </w:t>
      </w:r>
      <w:r w:rsidRPr="005609D5">
        <w:rPr>
          <w:rFonts w:cs="Arial" w:hint="cs"/>
          <w:sz w:val="24"/>
          <w:szCs w:val="24"/>
          <w:rtl/>
          <w:lang w:bidi="ar-IQ"/>
        </w:rPr>
        <w:t>رقم</w:t>
      </w:r>
      <w:r w:rsidRPr="005609D5">
        <w:rPr>
          <w:rFonts w:cs="Arial"/>
          <w:sz w:val="24"/>
          <w:szCs w:val="24"/>
          <w:rtl/>
          <w:lang w:bidi="ar-IQ"/>
        </w:rPr>
        <w:t xml:space="preserve"> ( 107) </w:t>
      </w:r>
      <w:r w:rsidRPr="005609D5">
        <w:rPr>
          <w:rFonts w:cs="Arial" w:hint="cs"/>
          <w:sz w:val="24"/>
          <w:szCs w:val="24"/>
          <w:rtl/>
          <w:lang w:bidi="ar-IQ"/>
        </w:rPr>
        <w:t>لسنة</w:t>
      </w:r>
      <w:r w:rsidRPr="005609D5">
        <w:rPr>
          <w:rFonts w:cs="Arial"/>
          <w:sz w:val="24"/>
          <w:szCs w:val="24"/>
          <w:rtl/>
          <w:lang w:bidi="ar-IQ"/>
        </w:rPr>
        <w:t xml:space="preserve">  1997 </w:t>
      </w:r>
      <w:r w:rsidRPr="005609D5">
        <w:rPr>
          <w:rFonts w:cs="Arial" w:hint="cs"/>
          <w:sz w:val="24"/>
          <w:szCs w:val="24"/>
          <w:rtl/>
          <w:lang w:bidi="ar-IQ"/>
        </w:rPr>
        <w:t>على</w:t>
      </w:r>
      <w:r w:rsidRPr="005609D5">
        <w:rPr>
          <w:rFonts w:cs="Arial"/>
          <w:sz w:val="24"/>
          <w:szCs w:val="24"/>
          <w:rtl/>
          <w:lang w:bidi="ar-IQ"/>
        </w:rPr>
        <w:t xml:space="preserve"> </w:t>
      </w:r>
      <w:r w:rsidRPr="005609D5">
        <w:rPr>
          <w:rFonts w:cs="Arial" w:hint="cs"/>
          <w:sz w:val="24"/>
          <w:szCs w:val="24"/>
          <w:rtl/>
          <w:lang w:bidi="ar-IQ"/>
        </w:rPr>
        <w:t>انه</w:t>
      </w:r>
      <w:r w:rsidRPr="005609D5">
        <w:rPr>
          <w:rFonts w:cs="Arial"/>
          <w:sz w:val="24"/>
          <w:szCs w:val="24"/>
          <w:rtl/>
          <w:lang w:bidi="ar-IQ"/>
        </w:rPr>
        <w:t xml:space="preserve"> "</w:t>
      </w:r>
      <w:r w:rsidRPr="005609D5">
        <w:rPr>
          <w:rFonts w:cs="Arial" w:hint="cs"/>
          <w:sz w:val="24"/>
          <w:szCs w:val="24"/>
          <w:rtl/>
          <w:lang w:bidi="ar-IQ"/>
        </w:rPr>
        <w:t>القرينة</w:t>
      </w:r>
      <w:r w:rsidRPr="005609D5">
        <w:rPr>
          <w:rFonts w:cs="Arial"/>
          <w:sz w:val="24"/>
          <w:szCs w:val="24"/>
          <w:rtl/>
          <w:lang w:bidi="ar-IQ"/>
        </w:rPr>
        <w:t xml:space="preserve"> </w:t>
      </w:r>
      <w:r w:rsidRPr="005609D5">
        <w:rPr>
          <w:rFonts w:cs="Arial" w:hint="cs"/>
          <w:sz w:val="24"/>
          <w:szCs w:val="24"/>
          <w:rtl/>
          <w:lang w:bidi="ar-IQ"/>
        </w:rPr>
        <w:t>القانونية</w:t>
      </w:r>
      <w:r w:rsidRPr="005609D5">
        <w:rPr>
          <w:rFonts w:cs="Arial"/>
          <w:sz w:val="24"/>
          <w:szCs w:val="24"/>
          <w:rtl/>
          <w:lang w:bidi="ar-IQ"/>
        </w:rPr>
        <w:t xml:space="preserve"> </w:t>
      </w:r>
      <w:r w:rsidRPr="005609D5">
        <w:rPr>
          <w:rFonts w:cs="Arial" w:hint="cs"/>
          <w:sz w:val="24"/>
          <w:szCs w:val="24"/>
          <w:rtl/>
          <w:lang w:bidi="ar-IQ"/>
        </w:rPr>
        <w:t>تغني</w:t>
      </w:r>
      <w:r w:rsidRPr="005609D5">
        <w:rPr>
          <w:rFonts w:cs="Arial"/>
          <w:sz w:val="24"/>
          <w:szCs w:val="24"/>
          <w:rtl/>
          <w:lang w:bidi="ar-IQ"/>
        </w:rPr>
        <w:t xml:space="preserve"> </w:t>
      </w:r>
      <w:r w:rsidRPr="005609D5">
        <w:rPr>
          <w:rFonts w:cs="Arial" w:hint="cs"/>
          <w:sz w:val="24"/>
          <w:szCs w:val="24"/>
          <w:rtl/>
          <w:lang w:bidi="ar-IQ"/>
        </w:rPr>
        <w:t>من</w:t>
      </w:r>
      <w:r w:rsidRPr="005609D5">
        <w:rPr>
          <w:rFonts w:cs="Arial"/>
          <w:sz w:val="24"/>
          <w:szCs w:val="24"/>
          <w:rtl/>
          <w:lang w:bidi="ar-IQ"/>
        </w:rPr>
        <w:t xml:space="preserve"> </w:t>
      </w:r>
      <w:r w:rsidRPr="005609D5">
        <w:rPr>
          <w:rFonts w:cs="Arial" w:hint="cs"/>
          <w:sz w:val="24"/>
          <w:szCs w:val="24"/>
          <w:rtl/>
          <w:lang w:bidi="ar-IQ"/>
        </w:rPr>
        <w:t>تقررت</w:t>
      </w:r>
      <w:r w:rsidRPr="005609D5">
        <w:rPr>
          <w:rFonts w:cs="Arial"/>
          <w:sz w:val="24"/>
          <w:szCs w:val="24"/>
          <w:rtl/>
          <w:lang w:bidi="ar-IQ"/>
        </w:rPr>
        <w:t xml:space="preserve"> </w:t>
      </w:r>
      <w:r w:rsidRPr="005609D5">
        <w:rPr>
          <w:rFonts w:cs="Arial" w:hint="cs"/>
          <w:sz w:val="24"/>
          <w:szCs w:val="24"/>
          <w:rtl/>
          <w:lang w:bidi="ar-IQ"/>
        </w:rPr>
        <w:t>لمصلحته</w:t>
      </w:r>
      <w:r w:rsidRPr="005609D5">
        <w:rPr>
          <w:rFonts w:cs="Arial"/>
          <w:sz w:val="24"/>
          <w:szCs w:val="24"/>
          <w:rtl/>
          <w:lang w:bidi="ar-IQ"/>
        </w:rPr>
        <w:t xml:space="preserve"> </w:t>
      </w:r>
      <w:r w:rsidRPr="005609D5">
        <w:rPr>
          <w:rFonts w:cs="Arial" w:hint="cs"/>
          <w:sz w:val="24"/>
          <w:szCs w:val="24"/>
          <w:rtl/>
          <w:lang w:bidi="ar-IQ"/>
        </w:rPr>
        <w:t>عن</w:t>
      </w:r>
      <w:r w:rsidRPr="005609D5">
        <w:rPr>
          <w:rFonts w:cs="Arial"/>
          <w:sz w:val="24"/>
          <w:szCs w:val="24"/>
          <w:rtl/>
          <w:lang w:bidi="ar-IQ"/>
        </w:rPr>
        <w:t xml:space="preserve"> </w:t>
      </w:r>
      <w:r w:rsidRPr="005609D5">
        <w:rPr>
          <w:rFonts w:cs="Arial" w:hint="cs"/>
          <w:sz w:val="24"/>
          <w:szCs w:val="24"/>
          <w:rtl/>
          <w:lang w:bidi="ar-IQ"/>
        </w:rPr>
        <w:t>اي</w:t>
      </w:r>
      <w:r w:rsidRPr="005609D5">
        <w:rPr>
          <w:rFonts w:cs="Arial"/>
          <w:sz w:val="24"/>
          <w:szCs w:val="24"/>
          <w:rtl/>
          <w:lang w:bidi="ar-IQ"/>
        </w:rPr>
        <w:t xml:space="preserve"> </w:t>
      </w:r>
      <w:r w:rsidRPr="005609D5">
        <w:rPr>
          <w:rFonts w:cs="Arial" w:hint="cs"/>
          <w:sz w:val="24"/>
          <w:szCs w:val="24"/>
          <w:rtl/>
          <w:lang w:bidi="ar-IQ"/>
        </w:rPr>
        <w:t>دليل</w:t>
      </w:r>
      <w:r w:rsidRPr="005609D5">
        <w:rPr>
          <w:rFonts w:cs="Arial"/>
          <w:sz w:val="24"/>
          <w:szCs w:val="24"/>
          <w:rtl/>
          <w:lang w:bidi="ar-IQ"/>
        </w:rPr>
        <w:t xml:space="preserve"> </w:t>
      </w:r>
      <w:r w:rsidRPr="005609D5">
        <w:rPr>
          <w:rFonts w:cs="Arial" w:hint="cs"/>
          <w:sz w:val="24"/>
          <w:szCs w:val="24"/>
          <w:rtl/>
          <w:lang w:bidi="ar-IQ"/>
        </w:rPr>
        <w:t>اخر</w:t>
      </w:r>
      <w:r w:rsidRPr="005609D5">
        <w:rPr>
          <w:rFonts w:cs="Arial"/>
          <w:sz w:val="24"/>
          <w:szCs w:val="24"/>
          <w:rtl/>
          <w:lang w:bidi="ar-IQ"/>
        </w:rPr>
        <w:t xml:space="preserve"> </w:t>
      </w:r>
      <w:r w:rsidRPr="005609D5">
        <w:rPr>
          <w:rFonts w:cs="Arial" w:hint="cs"/>
          <w:sz w:val="24"/>
          <w:szCs w:val="24"/>
          <w:rtl/>
          <w:lang w:bidi="ar-IQ"/>
        </w:rPr>
        <w:t>من</w:t>
      </w:r>
      <w:r w:rsidRPr="005609D5">
        <w:rPr>
          <w:rFonts w:cs="Arial"/>
          <w:sz w:val="24"/>
          <w:szCs w:val="24"/>
          <w:rtl/>
          <w:lang w:bidi="ar-IQ"/>
        </w:rPr>
        <w:t xml:space="preserve"> </w:t>
      </w:r>
      <w:r w:rsidRPr="005609D5">
        <w:rPr>
          <w:rFonts w:cs="Arial" w:hint="cs"/>
          <w:sz w:val="24"/>
          <w:szCs w:val="24"/>
          <w:rtl/>
          <w:lang w:bidi="ar-IQ"/>
        </w:rPr>
        <w:t>ادلة</w:t>
      </w:r>
      <w:r w:rsidRPr="005609D5">
        <w:rPr>
          <w:rFonts w:cs="Arial"/>
          <w:sz w:val="24"/>
          <w:szCs w:val="24"/>
          <w:rtl/>
          <w:lang w:bidi="ar-IQ"/>
        </w:rPr>
        <w:t xml:space="preserve"> </w:t>
      </w:r>
      <w:r w:rsidRPr="005609D5">
        <w:rPr>
          <w:rFonts w:cs="Arial" w:hint="cs"/>
          <w:sz w:val="24"/>
          <w:szCs w:val="24"/>
          <w:rtl/>
          <w:lang w:bidi="ar-IQ"/>
        </w:rPr>
        <w:t>الاثبات</w:t>
      </w:r>
      <w:r w:rsidRPr="005609D5">
        <w:rPr>
          <w:rFonts w:cs="Arial"/>
          <w:sz w:val="24"/>
          <w:szCs w:val="24"/>
          <w:rtl/>
          <w:lang w:bidi="ar-IQ"/>
        </w:rPr>
        <w:t xml:space="preserve"> ".</w:t>
      </w:r>
    </w:p>
  </w:footnote>
  <w:footnote w:id="13">
    <w:p w:rsidR="00184A5E" w:rsidRPr="00276C58" w:rsidRDefault="00184A5E" w:rsidP="00184A5E">
      <w:pPr>
        <w:pStyle w:val="aa"/>
        <w:rPr>
          <w:sz w:val="24"/>
          <w:szCs w:val="24"/>
          <w:lang w:bidi="ar-IQ"/>
        </w:rPr>
      </w:pPr>
      <w:r w:rsidRPr="00276C58">
        <w:rPr>
          <w:rFonts w:hint="cs"/>
          <w:sz w:val="24"/>
          <w:szCs w:val="24"/>
          <w:rtl/>
        </w:rPr>
        <w:t>(</w:t>
      </w:r>
      <w:r w:rsidRPr="00276C58">
        <w:rPr>
          <w:rStyle w:val="ab"/>
          <w:sz w:val="24"/>
          <w:szCs w:val="24"/>
        </w:rPr>
        <w:footnoteRef/>
      </w:r>
      <w:r w:rsidRPr="00276C58">
        <w:rPr>
          <w:rFonts w:hint="cs"/>
          <w:sz w:val="24"/>
          <w:szCs w:val="24"/>
          <w:rtl/>
        </w:rPr>
        <w:t xml:space="preserve">) </w:t>
      </w:r>
      <w:r w:rsidRPr="00276C58">
        <w:rPr>
          <w:rFonts w:cs="Arial" w:hint="cs"/>
          <w:sz w:val="24"/>
          <w:szCs w:val="24"/>
          <w:rtl/>
          <w:lang w:bidi="ar-IQ"/>
        </w:rPr>
        <w:t>د</w:t>
      </w:r>
      <w:r w:rsidRPr="00276C58">
        <w:rPr>
          <w:rFonts w:cs="Arial"/>
          <w:sz w:val="24"/>
          <w:szCs w:val="24"/>
          <w:rtl/>
          <w:lang w:bidi="ar-IQ"/>
        </w:rPr>
        <w:t xml:space="preserve">. </w:t>
      </w:r>
      <w:r w:rsidRPr="00276C58">
        <w:rPr>
          <w:rFonts w:cs="Arial" w:hint="cs"/>
          <w:sz w:val="24"/>
          <w:szCs w:val="24"/>
          <w:rtl/>
          <w:lang w:bidi="ar-IQ"/>
        </w:rPr>
        <w:t>عباس</w:t>
      </w:r>
      <w:r w:rsidRPr="00276C58">
        <w:rPr>
          <w:rFonts w:cs="Arial"/>
          <w:sz w:val="24"/>
          <w:szCs w:val="24"/>
          <w:rtl/>
          <w:lang w:bidi="ar-IQ"/>
        </w:rPr>
        <w:t xml:space="preserve"> </w:t>
      </w:r>
      <w:r w:rsidRPr="00276C58">
        <w:rPr>
          <w:rFonts w:cs="Arial" w:hint="cs"/>
          <w:sz w:val="24"/>
          <w:szCs w:val="24"/>
          <w:rtl/>
          <w:lang w:bidi="ar-IQ"/>
        </w:rPr>
        <w:t>العبودي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مصدر</w:t>
      </w:r>
      <w:r w:rsidRPr="00276C58">
        <w:rPr>
          <w:rFonts w:cs="Arial"/>
          <w:sz w:val="24"/>
          <w:szCs w:val="24"/>
          <w:rtl/>
          <w:lang w:bidi="ar-IQ"/>
        </w:rPr>
        <w:t xml:space="preserve"> </w:t>
      </w:r>
      <w:r w:rsidRPr="00276C58">
        <w:rPr>
          <w:rFonts w:cs="Arial" w:hint="cs"/>
          <w:sz w:val="24"/>
          <w:szCs w:val="24"/>
          <w:rtl/>
          <w:lang w:bidi="ar-IQ"/>
        </w:rPr>
        <w:t>سابق</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ص</w:t>
      </w:r>
      <w:r w:rsidRPr="00276C58">
        <w:rPr>
          <w:rFonts w:cs="Arial"/>
          <w:sz w:val="24"/>
          <w:szCs w:val="24"/>
          <w:rtl/>
          <w:lang w:bidi="ar-IQ"/>
        </w:rPr>
        <w:t xml:space="preserve"> 174 .</w:t>
      </w:r>
    </w:p>
  </w:footnote>
  <w:footnote w:id="14">
    <w:p w:rsidR="00184A5E" w:rsidRPr="00276C58" w:rsidRDefault="00184A5E" w:rsidP="00184A5E">
      <w:pPr>
        <w:pStyle w:val="aa"/>
        <w:rPr>
          <w:sz w:val="24"/>
          <w:szCs w:val="24"/>
          <w:lang w:bidi="ar-IQ"/>
        </w:rPr>
      </w:pPr>
      <w:r w:rsidRPr="00276C58">
        <w:rPr>
          <w:rFonts w:hint="cs"/>
          <w:sz w:val="24"/>
          <w:szCs w:val="24"/>
          <w:rtl/>
        </w:rPr>
        <w:t>(</w:t>
      </w:r>
      <w:r w:rsidRPr="00276C58">
        <w:rPr>
          <w:rStyle w:val="ab"/>
          <w:sz w:val="24"/>
          <w:szCs w:val="24"/>
        </w:rPr>
        <w:footnoteRef/>
      </w:r>
      <w:r w:rsidRPr="00276C58">
        <w:rPr>
          <w:rFonts w:hint="cs"/>
          <w:sz w:val="24"/>
          <w:szCs w:val="24"/>
          <w:rtl/>
        </w:rPr>
        <w:t>)</w:t>
      </w:r>
      <w:r w:rsidRPr="00276C58">
        <w:rPr>
          <w:rFonts w:cs="Arial" w:hint="cs"/>
          <w:sz w:val="24"/>
          <w:szCs w:val="24"/>
          <w:rtl/>
          <w:lang w:bidi="ar-IQ"/>
        </w:rPr>
        <w:t xml:space="preserve"> قرار</w:t>
      </w:r>
      <w:r w:rsidRPr="00276C58">
        <w:rPr>
          <w:rFonts w:cs="Arial"/>
          <w:sz w:val="24"/>
          <w:szCs w:val="24"/>
          <w:rtl/>
          <w:lang w:bidi="ar-IQ"/>
        </w:rPr>
        <w:t xml:space="preserve"> </w:t>
      </w:r>
      <w:r w:rsidRPr="00276C58">
        <w:rPr>
          <w:rFonts w:cs="Arial" w:hint="cs"/>
          <w:sz w:val="24"/>
          <w:szCs w:val="24"/>
          <w:rtl/>
          <w:lang w:bidi="ar-IQ"/>
        </w:rPr>
        <w:t>محكمة</w:t>
      </w:r>
      <w:r w:rsidRPr="00276C58">
        <w:rPr>
          <w:rFonts w:cs="Arial"/>
          <w:sz w:val="24"/>
          <w:szCs w:val="24"/>
          <w:rtl/>
          <w:lang w:bidi="ar-IQ"/>
        </w:rPr>
        <w:t xml:space="preserve"> </w:t>
      </w:r>
      <w:r w:rsidRPr="00276C58">
        <w:rPr>
          <w:rFonts w:cs="Arial" w:hint="cs"/>
          <w:sz w:val="24"/>
          <w:szCs w:val="24"/>
          <w:rtl/>
          <w:lang w:bidi="ar-IQ"/>
        </w:rPr>
        <w:t>القضاء</w:t>
      </w:r>
      <w:r w:rsidRPr="00276C58">
        <w:rPr>
          <w:rFonts w:cs="Arial"/>
          <w:sz w:val="24"/>
          <w:szCs w:val="24"/>
          <w:rtl/>
          <w:lang w:bidi="ar-IQ"/>
        </w:rPr>
        <w:t xml:space="preserve"> </w:t>
      </w:r>
      <w:r w:rsidRPr="00276C58">
        <w:rPr>
          <w:rFonts w:cs="Arial" w:hint="cs"/>
          <w:sz w:val="24"/>
          <w:szCs w:val="24"/>
          <w:rtl/>
          <w:lang w:bidi="ar-IQ"/>
        </w:rPr>
        <w:t>الاداري</w:t>
      </w:r>
      <w:r w:rsidRPr="00276C58">
        <w:rPr>
          <w:rFonts w:cs="Arial"/>
          <w:sz w:val="24"/>
          <w:szCs w:val="24"/>
          <w:rtl/>
          <w:lang w:bidi="ar-IQ"/>
        </w:rPr>
        <w:t xml:space="preserve"> </w:t>
      </w:r>
      <w:r w:rsidRPr="00276C58">
        <w:rPr>
          <w:rFonts w:cs="Arial" w:hint="cs"/>
          <w:sz w:val="24"/>
          <w:szCs w:val="24"/>
          <w:rtl/>
          <w:lang w:bidi="ar-IQ"/>
        </w:rPr>
        <w:t>المصري</w:t>
      </w:r>
      <w:r w:rsidRPr="00276C58">
        <w:rPr>
          <w:rFonts w:cs="Arial"/>
          <w:sz w:val="24"/>
          <w:szCs w:val="24"/>
          <w:rtl/>
          <w:lang w:bidi="ar-IQ"/>
        </w:rPr>
        <w:t xml:space="preserve"> </w:t>
      </w:r>
      <w:r w:rsidRPr="00276C58">
        <w:rPr>
          <w:rFonts w:cs="Arial" w:hint="cs"/>
          <w:sz w:val="24"/>
          <w:szCs w:val="24"/>
          <w:rtl/>
          <w:lang w:bidi="ar-IQ"/>
        </w:rPr>
        <w:t>في</w:t>
      </w:r>
      <w:r w:rsidRPr="00276C58">
        <w:rPr>
          <w:rFonts w:cs="Arial"/>
          <w:sz w:val="24"/>
          <w:szCs w:val="24"/>
          <w:rtl/>
          <w:lang w:bidi="ar-IQ"/>
        </w:rPr>
        <w:t xml:space="preserve"> 2 / 12 / 1950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مشار</w:t>
      </w:r>
      <w:r w:rsidRPr="00276C58">
        <w:rPr>
          <w:rFonts w:cs="Arial"/>
          <w:sz w:val="24"/>
          <w:szCs w:val="24"/>
          <w:rtl/>
          <w:lang w:bidi="ar-IQ"/>
        </w:rPr>
        <w:t xml:space="preserve"> </w:t>
      </w:r>
      <w:r w:rsidRPr="00276C58">
        <w:rPr>
          <w:rFonts w:cs="Arial" w:hint="cs"/>
          <w:sz w:val="24"/>
          <w:szCs w:val="24"/>
          <w:rtl/>
          <w:lang w:bidi="ar-IQ"/>
        </w:rPr>
        <w:t>اليه</w:t>
      </w:r>
      <w:r w:rsidRPr="00276C58">
        <w:rPr>
          <w:rFonts w:cs="Arial"/>
          <w:sz w:val="24"/>
          <w:szCs w:val="24"/>
          <w:rtl/>
          <w:lang w:bidi="ar-IQ"/>
        </w:rPr>
        <w:t xml:space="preserve"> </w:t>
      </w:r>
      <w:r w:rsidRPr="00276C58">
        <w:rPr>
          <w:rFonts w:cs="Arial" w:hint="cs"/>
          <w:sz w:val="24"/>
          <w:szCs w:val="24"/>
          <w:rtl/>
          <w:lang w:bidi="ar-IQ"/>
        </w:rPr>
        <w:t>لدى</w:t>
      </w:r>
      <w:r w:rsidRPr="00276C58">
        <w:rPr>
          <w:rFonts w:cs="Arial"/>
          <w:sz w:val="24"/>
          <w:szCs w:val="24"/>
          <w:rtl/>
          <w:lang w:bidi="ar-IQ"/>
        </w:rPr>
        <w:t xml:space="preserve"> </w:t>
      </w:r>
      <w:r w:rsidRPr="00276C58">
        <w:rPr>
          <w:rFonts w:cs="Arial" w:hint="cs"/>
          <w:sz w:val="24"/>
          <w:szCs w:val="24"/>
          <w:rtl/>
          <w:lang w:bidi="ar-IQ"/>
        </w:rPr>
        <w:t>د</w:t>
      </w:r>
      <w:r w:rsidRPr="00276C58">
        <w:rPr>
          <w:rFonts w:cs="Arial"/>
          <w:sz w:val="24"/>
          <w:szCs w:val="24"/>
          <w:rtl/>
          <w:lang w:bidi="ar-IQ"/>
        </w:rPr>
        <w:t xml:space="preserve"> .</w:t>
      </w:r>
      <w:r w:rsidRPr="00276C58">
        <w:rPr>
          <w:rFonts w:cs="Arial" w:hint="cs"/>
          <w:sz w:val="24"/>
          <w:szCs w:val="24"/>
          <w:rtl/>
          <w:lang w:bidi="ar-IQ"/>
        </w:rPr>
        <w:t>عباس</w:t>
      </w:r>
      <w:r w:rsidRPr="00276C58">
        <w:rPr>
          <w:rFonts w:cs="Arial"/>
          <w:sz w:val="24"/>
          <w:szCs w:val="24"/>
          <w:rtl/>
          <w:lang w:bidi="ar-IQ"/>
        </w:rPr>
        <w:t xml:space="preserve"> </w:t>
      </w:r>
      <w:r w:rsidRPr="00276C58">
        <w:rPr>
          <w:rFonts w:cs="Arial" w:hint="cs"/>
          <w:sz w:val="24"/>
          <w:szCs w:val="24"/>
          <w:rtl/>
          <w:lang w:bidi="ar-IQ"/>
        </w:rPr>
        <w:t>العبودي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مصدر</w:t>
      </w:r>
      <w:r w:rsidRPr="00276C58">
        <w:rPr>
          <w:rFonts w:cs="Arial"/>
          <w:sz w:val="24"/>
          <w:szCs w:val="24"/>
          <w:rtl/>
          <w:lang w:bidi="ar-IQ"/>
        </w:rPr>
        <w:t xml:space="preserve"> </w:t>
      </w:r>
      <w:r w:rsidRPr="00276C58">
        <w:rPr>
          <w:rFonts w:cs="Arial" w:hint="cs"/>
          <w:sz w:val="24"/>
          <w:szCs w:val="24"/>
          <w:rtl/>
          <w:lang w:bidi="ar-IQ"/>
        </w:rPr>
        <w:t>سابق</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ص</w:t>
      </w:r>
      <w:r w:rsidRPr="00276C58">
        <w:rPr>
          <w:rFonts w:cs="Arial"/>
          <w:sz w:val="24"/>
          <w:szCs w:val="24"/>
          <w:rtl/>
          <w:lang w:bidi="ar-IQ"/>
        </w:rPr>
        <w:t xml:space="preserve"> 175 .</w:t>
      </w:r>
    </w:p>
  </w:footnote>
  <w:footnote w:id="15">
    <w:p w:rsidR="00184A5E" w:rsidRPr="00276C58" w:rsidRDefault="00184A5E" w:rsidP="00184A5E">
      <w:pPr>
        <w:pStyle w:val="aa"/>
        <w:jc w:val="both"/>
        <w:rPr>
          <w:sz w:val="24"/>
          <w:szCs w:val="24"/>
          <w:lang w:bidi="ar-IQ"/>
        </w:rPr>
      </w:pPr>
      <w:r w:rsidRPr="00276C58">
        <w:rPr>
          <w:rFonts w:hint="cs"/>
          <w:sz w:val="24"/>
          <w:szCs w:val="24"/>
          <w:rtl/>
        </w:rPr>
        <w:t>(</w:t>
      </w:r>
      <w:r w:rsidRPr="00276C58">
        <w:rPr>
          <w:rStyle w:val="ab"/>
          <w:sz w:val="24"/>
          <w:szCs w:val="24"/>
        </w:rPr>
        <w:footnoteRef/>
      </w:r>
      <w:r w:rsidRPr="00276C58">
        <w:rPr>
          <w:rFonts w:hint="cs"/>
          <w:sz w:val="24"/>
          <w:szCs w:val="24"/>
          <w:rtl/>
        </w:rPr>
        <w:t>)</w:t>
      </w:r>
      <w:r w:rsidRPr="00276C58">
        <w:rPr>
          <w:rFonts w:cs="Arial" w:hint="cs"/>
          <w:sz w:val="24"/>
          <w:szCs w:val="24"/>
          <w:rtl/>
          <w:lang w:bidi="ar-IQ"/>
        </w:rPr>
        <w:t xml:space="preserve"> د</w:t>
      </w:r>
      <w:r w:rsidRPr="00276C58">
        <w:rPr>
          <w:rFonts w:cs="Arial"/>
          <w:sz w:val="24"/>
          <w:szCs w:val="24"/>
          <w:rtl/>
          <w:lang w:bidi="ar-IQ"/>
        </w:rPr>
        <w:t xml:space="preserve"> . </w:t>
      </w:r>
      <w:r w:rsidRPr="00276C58">
        <w:rPr>
          <w:rFonts w:cs="Arial" w:hint="cs"/>
          <w:sz w:val="24"/>
          <w:szCs w:val="24"/>
          <w:rtl/>
          <w:lang w:bidi="ar-IQ"/>
        </w:rPr>
        <w:t>حسن</w:t>
      </w:r>
      <w:r w:rsidRPr="00276C58">
        <w:rPr>
          <w:rFonts w:cs="Arial"/>
          <w:sz w:val="24"/>
          <w:szCs w:val="24"/>
          <w:rtl/>
          <w:lang w:bidi="ar-IQ"/>
        </w:rPr>
        <w:t xml:space="preserve"> </w:t>
      </w:r>
      <w:r w:rsidRPr="00276C58">
        <w:rPr>
          <w:rFonts w:cs="Arial" w:hint="cs"/>
          <w:sz w:val="24"/>
          <w:szCs w:val="24"/>
          <w:rtl/>
          <w:lang w:bidi="ar-IQ"/>
        </w:rPr>
        <w:t>محمد</w:t>
      </w:r>
      <w:r w:rsidRPr="00276C58">
        <w:rPr>
          <w:rFonts w:cs="Arial"/>
          <w:sz w:val="24"/>
          <w:szCs w:val="24"/>
          <w:rtl/>
          <w:lang w:bidi="ar-IQ"/>
        </w:rPr>
        <w:t xml:space="preserve"> </w:t>
      </w:r>
      <w:r w:rsidRPr="00276C58">
        <w:rPr>
          <w:rFonts w:cs="Arial" w:hint="cs"/>
          <w:sz w:val="24"/>
          <w:szCs w:val="24"/>
          <w:rtl/>
          <w:lang w:bidi="ar-IQ"/>
        </w:rPr>
        <w:t>الهداوي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Pr>
          <w:rFonts w:cs="Arial" w:hint="cs"/>
          <w:sz w:val="24"/>
          <w:szCs w:val="24"/>
          <w:rtl/>
          <w:lang w:bidi="ar-IQ"/>
        </w:rPr>
        <w:t xml:space="preserve">د. </w:t>
      </w:r>
      <w:r w:rsidRPr="00276C58">
        <w:rPr>
          <w:rFonts w:cs="Arial" w:hint="cs"/>
          <w:sz w:val="24"/>
          <w:szCs w:val="24"/>
          <w:rtl/>
          <w:lang w:bidi="ar-IQ"/>
        </w:rPr>
        <w:t>غالب</w:t>
      </w:r>
      <w:r w:rsidRPr="00276C58">
        <w:rPr>
          <w:rFonts w:cs="Arial"/>
          <w:sz w:val="24"/>
          <w:szCs w:val="24"/>
          <w:rtl/>
          <w:lang w:bidi="ar-IQ"/>
        </w:rPr>
        <w:t xml:space="preserve"> </w:t>
      </w:r>
      <w:r w:rsidRPr="00276C58">
        <w:rPr>
          <w:rFonts w:cs="Arial" w:hint="cs"/>
          <w:sz w:val="24"/>
          <w:szCs w:val="24"/>
          <w:rtl/>
          <w:lang w:bidi="ar-IQ"/>
        </w:rPr>
        <w:t>على</w:t>
      </w:r>
      <w:r w:rsidRPr="00276C58">
        <w:rPr>
          <w:rFonts w:cs="Arial"/>
          <w:sz w:val="24"/>
          <w:szCs w:val="24"/>
          <w:rtl/>
          <w:lang w:bidi="ar-IQ"/>
        </w:rPr>
        <w:t xml:space="preserve"> </w:t>
      </w:r>
      <w:r w:rsidRPr="00276C58">
        <w:rPr>
          <w:rFonts w:cs="Arial" w:hint="cs"/>
          <w:sz w:val="24"/>
          <w:szCs w:val="24"/>
          <w:rtl/>
          <w:lang w:bidi="ar-IQ"/>
        </w:rPr>
        <w:t>الداودي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القانون</w:t>
      </w:r>
      <w:r w:rsidRPr="00276C58">
        <w:rPr>
          <w:rFonts w:cs="Arial"/>
          <w:sz w:val="24"/>
          <w:szCs w:val="24"/>
          <w:rtl/>
          <w:lang w:bidi="ar-IQ"/>
        </w:rPr>
        <w:t xml:space="preserve"> </w:t>
      </w:r>
      <w:r w:rsidRPr="00276C58">
        <w:rPr>
          <w:rFonts w:cs="Arial" w:hint="cs"/>
          <w:sz w:val="24"/>
          <w:szCs w:val="24"/>
          <w:rtl/>
          <w:lang w:bidi="ar-IQ"/>
        </w:rPr>
        <w:t>الدولي</w:t>
      </w:r>
      <w:r w:rsidRPr="00276C58">
        <w:rPr>
          <w:rFonts w:cs="Arial"/>
          <w:sz w:val="24"/>
          <w:szCs w:val="24"/>
          <w:rtl/>
          <w:lang w:bidi="ar-IQ"/>
        </w:rPr>
        <w:t xml:space="preserve"> </w:t>
      </w:r>
      <w:r w:rsidRPr="00276C58">
        <w:rPr>
          <w:rFonts w:cs="Arial" w:hint="cs"/>
          <w:sz w:val="24"/>
          <w:szCs w:val="24"/>
          <w:rtl/>
          <w:lang w:bidi="ar-IQ"/>
        </w:rPr>
        <w:t>الخاص</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proofErr w:type="spellStart"/>
      <w:r>
        <w:rPr>
          <w:rFonts w:cs="Arial" w:hint="cs"/>
          <w:sz w:val="24"/>
          <w:szCs w:val="24"/>
          <w:rtl/>
          <w:lang w:bidi="ar-IQ"/>
        </w:rPr>
        <w:t>العاتك</w:t>
      </w:r>
      <w:proofErr w:type="spellEnd"/>
      <w:r w:rsidRPr="00276C58">
        <w:rPr>
          <w:rFonts w:cs="Arial"/>
          <w:sz w:val="24"/>
          <w:szCs w:val="24"/>
          <w:rtl/>
          <w:lang w:bidi="ar-IQ"/>
        </w:rPr>
        <w:t xml:space="preserve"> </w:t>
      </w:r>
      <w:r w:rsidRPr="00276C58">
        <w:rPr>
          <w:rFonts w:cs="Arial" w:hint="cs"/>
          <w:sz w:val="24"/>
          <w:szCs w:val="24"/>
          <w:rtl/>
          <w:lang w:bidi="ar-IQ"/>
        </w:rPr>
        <w:t>لصناعة</w:t>
      </w:r>
      <w:r w:rsidRPr="00276C58">
        <w:rPr>
          <w:rFonts w:cs="Arial"/>
          <w:sz w:val="24"/>
          <w:szCs w:val="24"/>
          <w:rtl/>
          <w:lang w:bidi="ar-IQ"/>
        </w:rPr>
        <w:t xml:space="preserve"> </w:t>
      </w:r>
      <w:r w:rsidRPr="00276C58">
        <w:rPr>
          <w:rFonts w:cs="Arial" w:hint="cs"/>
          <w:sz w:val="24"/>
          <w:szCs w:val="24"/>
          <w:rtl/>
          <w:lang w:bidi="ar-IQ"/>
        </w:rPr>
        <w:t>الكتاب</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القاهرة</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ص</w:t>
      </w:r>
      <w:r w:rsidRPr="00276C58">
        <w:rPr>
          <w:rFonts w:cs="Arial"/>
          <w:sz w:val="24"/>
          <w:szCs w:val="24"/>
          <w:rtl/>
          <w:lang w:bidi="ar-IQ"/>
        </w:rPr>
        <w:t xml:space="preserve"> 164 </w:t>
      </w:r>
      <w:r w:rsidRPr="00276C58">
        <w:rPr>
          <w:rFonts w:cs="Arial" w:hint="cs"/>
          <w:sz w:val="24"/>
          <w:szCs w:val="24"/>
          <w:rtl/>
          <w:lang w:bidi="ar-IQ"/>
        </w:rPr>
        <w:t>و</w:t>
      </w:r>
      <w:r w:rsidRPr="00276C58">
        <w:rPr>
          <w:rFonts w:cs="Arial"/>
          <w:sz w:val="24"/>
          <w:szCs w:val="24"/>
          <w:rtl/>
          <w:lang w:bidi="ar-IQ"/>
        </w:rPr>
        <w:t xml:space="preserve"> </w:t>
      </w:r>
      <w:r w:rsidRPr="00276C58">
        <w:rPr>
          <w:rFonts w:cs="Arial" w:hint="cs"/>
          <w:sz w:val="24"/>
          <w:szCs w:val="24"/>
          <w:rtl/>
          <w:lang w:bidi="ar-IQ"/>
        </w:rPr>
        <w:t>ما</w:t>
      </w:r>
      <w:r w:rsidRPr="00276C58">
        <w:rPr>
          <w:rFonts w:cs="Arial"/>
          <w:sz w:val="24"/>
          <w:szCs w:val="24"/>
          <w:rtl/>
          <w:lang w:bidi="ar-IQ"/>
        </w:rPr>
        <w:t xml:space="preserve"> </w:t>
      </w:r>
      <w:r w:rsidRPr="00276C58">
        <w:rPr>
          <w:rFonts w:cs="Arial" w:hint="cs"/>
          <w:sz w:val="24"/>
          <w:szCs w:val="24"/>
          <w:rtl/>
          <w:lang w:bidi="ar-IQ"/>
        </w:rPr>
        <w:t>بعدها</w:t>
      </w:r>
      <w:r w:rsidRPr="00276C58">
        <w:rPr>
          <w:rFonts w:cs="Arial"/>
          <w:sz w:val="24"/>
          <w:szCs w:val="24"/>
          <w:rtl/>
          <w:lang w:bidi="ar-IQ"/>
        </w:rPr>
        <w:t xml:space="preserve"> .</w:t>
      </w:r>
    </w:p>
  </w:footnote>
  <w:footnote w:id="16">
    <w:p w:rsidR="00184A5E" w:rsidRPr="00276C58" w:rsidRDefault="00184A5E" w:rsidP="00184A5E">
      <w:pPr>
        <w:pStyle w:val="aa"/>
        <w:jc w:val="both"/>
        <w:rPr>
          <w:sz w:val="24"/>
          <w:szCs w:val="24"/>
          <w:lang w:bidi="ar-IQ"/>
        </w:rPr>
      </w:pPr>
      <w:r w:rsidRPr="00276C58">
        <w:rPr>
          <w:rFonts w:hint="cs"/>
          <w:sz w:val="24"/>
          <w:szCs w:val="24"/>
          <w:rtl/>
        </w:rPr>
        <w:t>(</w:t>
      </w:r>
      <w:r w:rsidRPr="00276C58">
        <w:rPr>
          <w:rStyle w:val="ab"/>
          <w:sz w:val="24"/>
          <w:szCs w:val="24"/>
        </w:rPr>
        <w:footnoteRef/>
      </w:r>
      <w:r w:rsidRPr="00276C58">
        <w:rPr>
          <w:rFonts w:hint="cs"/>
          <w:sz w:val="24"/>
          <w:szCs w:val="24"/>
          <w:rtl/>
        </w:rPr>
        <w:t>)</w:t>
      </w:r>
      <w:r w:rsidRPr="00276C58">
        <w:rPr>
          <w:rFonts w:cs="Arial" w:hint="cs"/>
          <w:sz w:val="24"/>
          <w:szCs w:val="24"/>
          <w:rtl/>
          <w:lang w:bidi="ar-IQ"/>
        </w:rPr>
        <w:t xml:space="preserve"> تجدر</w:t>
      </w:r>
      <w:r w:rsidRPr="00276C58">
        <w:rPr>
          <w:rFonts w:cs="Arial"/>
          <w:sz w:val="24"/>
          <w:szCs w:val="24"/>
          <w:rtl/>
          <w:lang w:bidi="ar-IQ"/>
        </w:rPr>
        <w:t xml:space="preserve"> </w:t>
      </w:r>
      <w:r w:rsidRPr="00276C58">
        <w:rPr>
          <w:rFonts w:cs="Arial" w:hint="cs"/>
          <w:sz w:val="24"/>
          <w:szCs w:val="24"/>
          <w:rtl/>
          <w:lang w:bidi="ar-IQ"/>
        </w:rPr>
        <w:t>الاشارة</w:t>
      </w:r>
      <w:r w:rsidRPr="00276C58">
        <w:rPr>
          <w:rFonts w:cs="Arial"/>
          <w:sz w:val="24"/>
          <w:szCs w:val="24"/>
          <w:rtl/>
          <w:lang w:bidi="ar-IQ"/>
        </w:rPr>
        <w:t xml:space="preserve"> </w:t>
      </w:r>
      <w:r w:rsidRPr="00276C58">
        <w:rPr>
          <w:rFonts w:cs="Arial" w:hint="cs"/>
          <w:sz w:val="24"/>
          <w:szCs w:val="24"/>
          <w:rtl/>
          <w:lang w:bidi="ar-IQ"/>
        </w:rPr>
        <w:t>بأن</w:t>
      </w:r>
      <w:r w:rsidRPr="00276C58">
        <w:rPr>
          <w:rFonts w:cs="Arial"/>
          <w:sz w:val="24"/>
          <w:szCs w:val="24"/>
          <w:rtl/>
          <w:lang w:bidi="ar-IQ"/>
        </w:rPr>
        <w:t xml:space="preserve"> </w:t>
      </w:r>
      <w:r w:rsidRPr="00276C58">
        <w:rPr>
          <w:rFonts w:cs="Arial" w:hint="cs"/>
          <w:sz w:val="24"/>
          <w:szCs w:val="24"/>
          <w:rtl/>
          <w:lang w:bidi="ar-IQ"/>
        </w:rPr>
        <w:t>المادة</w:t>
      </w:r>
      <w:r w:rsidRPr="00276C58">
        <w:rPr>
          <w:rFonts w:cs="Arial"/>
          <w:sz w:val="24"/>
          <w:szCs w:val="24"/>
          <w:rtl/>
          <w:lang w:bidi="ar-IQ"/>
        </w:rPr>
        <w:t xml:space="preserve"> (3) </w:t>
      </w:r>
      <w:r w:rsidRPr="00276C58">
        <w:rPr>
          <w:rFonts w:cs="Arial" w:hint="cs"/>
          <w:sz w:val="24"/>
          <w:szCs w:val="24"/>
          <w:rtl/>
          <w:lang w:bidi="ar-IQ"/>
        </w:rPr>
        <w:t>من</w:t>
      </w:r>
      <w:r w:rsidRPr="00276C58">
        <w:rPr>
          <w:rFonts w:cs="Arial"/>
          <w:sz w:val="24"/>
          <w:szCs w:val="24"/>
          <w:rtl/>
          <w:lang w:bidi="ar-IQ"/>
        </w:rPr>
        <w:t xml:space="preserve"> </w:t>
      </w:r>
      <w:r w:rsidRPr="00276C58">
        <w:rPr>
          <w:rFonts w:cs="Arial" w:hint="cs"/>
          <w:sz w:val="24"/>
          <w:szCs w:val="24"/>
          <w:rtl/>
          <w:lang w:bidi="ar-IQ"/>
        </w:rPr>
        <w:t>قانون</w:t>
      </w:r>
      <w:r w:rsidRPr="00276C58">
        <w:rPr>
          <w:rFonts w:cs="Arial"/>
          <w:sz w:val="24"/>
          <w:szCs w:val="24"/>
          <w:rtl/>
          <w:lang w:bidi="ar-IQ"/>
        </w:rPr>
        <w:t xml:space="preserve"> </w:t>
      </w:r>
      <w:r w:rsidRPr="00276C58">
        <w:rPr>
          <w:rFonts w:cs="Arial" w:hint="cs"/>
          <w:sz w:val="24"/>
          <w:szCs w:val="24"/>
          <w:rtl/>
          <w:lang w:bidi="ar-IQ"/>
        </w:rPr>
        <w:t>التنظيم</w:t>
      </w:r>
      <w:r w:rsidRPr="00276C58">
        <w:rPr>
          <w:rFonts w:cs="Arial"/>
          <w:sz w:val="24"/>
          <w:szCs w:val="24"/>
          <w:rtl/>
          <w:lang w:bidi="ar-IQ"/>
        </w:rPr>
        <w:t xml:space="preserve"> </w:t>
      </w:r>
      <w:r w:rsidRPr="00276C58">
        <w:rPr>
          <w:rFonts w:cs="Arial" w:hint="cs"/>
          <w:sz w:val="24"/>
          <w:szCs w:val="24"/>
          <w:rtl/>
          <w:lang w:bidi="ar-IQ"/>
        </w:rPr>
        <w:t>القضائي</w:t>
      </w:r>
      <w:r w:rsidRPr="00276C58">
        <w:rPr>
          <w:rFonts w:cs="Arial"/>
          <w:sz w:val="24"/>
          <w:szCs w:val="24"/>
          <w:rtl/>
          <w:lang w:bidi="ar-IQ"/>
        </w:rPr>
        <w:t xml:space="preserve"> </w:t>
      </w:r>
      <w:r w:rsidRPr="00276C58">
        <w:rPr>
          <w:rFonts w:cs="Arial" w:hint="cs"/>
          <w:sz w:val="24"/>
          <w:szCs w:val="24"/>
          <w:rtl/>
          <w:lang w:bidi="ar-IQ"/>
        </w:rPr>
        <w:t>رقم</w:t>
      </w:r>
      <w:r w:rsidRPr="00276C58">
        <w:rPr>
          <w:rFonts w:cs="Arial"/>
          <w:sz w:val="24"/>
          <w:szCs w:val="24"/>
          <w:rtl/>
          <w:lang w:bidi="ar-IQ"/>
        </w:rPr>
        <w:t xml:space="preserve"> (160) </w:t>
      </w:r>
      <w:r w:rsidRPr="00276C58">
        <w:rPr>
          <w:rFonts w:cs="Arial" w:hint="cs"/>
          <w:sz w:val="24"/>
          <w:szCs w:val="24"/>
          <w:rtl/>
          <w:lang w:bidi="ar-IQ"/>
        </w:rPr>
        <w:t>لسنة</w:t>
      </w:r>
      <w:r w:rsidRPr="00276C58">
        <w:rPr>
          <w:rFonts w:cs="Arial"/>
          <w:sz w:val="24"/>
          <w:szCs w:val="24"/>
          <w:rtl/>
          <w:lang w:bidi="ar-IQ"/>
        </w:rPr>
        <w:t xml:space="preserve"> 1969 </w:t>
      </w:r>
      <w:r w:rsidRPr="00276C58">
        <w:rPr>
          <w:rFonts w:cs="Arial" w:hint="cs"/>
          <w:sz w:val="24"/>
          <w:szCs w:val="24"/>
          <w:rtl/>
          <w:lang w:bidi="ar-IQ"/>
        </w:rPr>
        <w:t>كرر</w:t>
      </w:r>
      <w:r w:rsidRPr="00276C58">
        <w:rPr>
          <w:rFonts w:cs="Arial"/>
          <w:sz w:val="24"/>
          <w:szCs w:val="24"/>
          <w:rtl/>
          <w:lang w:bidi="ar-IQ"/>
        </w:rPr>
        <w:t xml:space="preserve"> </w:t>
      </w:r>
      <w:r w:rsidRPr="00276C58">
        <w:rPr>
          <w:rFonts w:cs="Arial" w:hint="cs"/>
          <w:sz w:val="24"/>
          <w:szCs w:val="24"/>
          <w:rtl/>
          <w:lang w:bidi="ar-IQ"/>
        </w:rPr>
        <w:t>فيها</w:t>
      </w:r>
      <w:r w:rsidRPr="00276C58">
        <w:rPr>
          <w:rFonts w:cs="Arial"/>
          <w:sz w:val="24"/>
          <w:szCs w:val="24"/>
          <w:rtl/>
          <w:lang w:bidi="ar-IQ"/>
        </w:rPr>
        <w:t xml:space="preserve"> </w:t>
      </w:r>
      <w:r w:rsidRPr="00276C58">
        <w:rPr>
          <w:rFonts w:cs="Arial" w:hint="cs"/>
          <w:sz w:val="24"/>
          <w:szCs w:val="24"/>
          <w:rtl/>
          <w:lang w:bidi="ar-IQ"/>
        </w:rPr>
        <w:t>المشرع</w:t>
      </w:r>
      <w:r w:rsidRPr="00276C58">
        <w:rPr>
          <w:rFonts w:cs="Arial"/>
          <w:sz w:val="24"/>
          <w:szCs w:val="24"/>
          <w:rtl/>
          <w:lang w:bidi="ar-IQ"/>
        </w:rPr>
        <w:t xml:space="preserve"> </w:t>
      </w:r>
      <w:r w:rsidRPr="00276C58">
        <w:rPr>
          <w:rFonts w:cs="Arial" w:hint="cs"/>
          <w:sz w:val="24"/>
          <w:szCs w:val="24"/>
          <w:rtl/>
          <w:lang w:bidi="ar-IQ"/>
        </w:rPr>
        <w:t>العراقي</w:t>
      </w:r>
      <w:r w:rsidRPr="00276C58">
        <w:rPr>
          <w:rFonts w:cs="Arial"/>
          <w:sz w:val="24"/>
          <w:szCs w:val="24"/>
          <w:rtl/>
          <w:lang w:bidi="ar-IQ"/>
        </w:rPr>
        <w:t xml:space="preserve"> </w:t>
      </w:r>
      <w:r w:rsidRPr="00276C58">
        <w:rPr>
          <w:rFonts w:cs="Arial" w:hint="cs"/>
          <w:sz w:val="24"/>
          <w:szCs w:val="24"/>
          <w:rtl/>
          <w:lang w:bidi="ar-IQ"/>
        </w:rPr>
        <w:t>المضمون</w:t>
      </w:r>
      <w:r w:rsidRPr="00276C58">
        <w:rPr>
          <w:rFonts w:cs="Arial"/>
          <w:sz w:val="24"/>
          <w:szCs w:val="24"/>
          <w:rtl/>
          <w:lang w:bidi="ar-IQ"/>
        </w:rPr>
        <w:t xml:space="preserve"> </w:t>
      </w:r>
      <w:r w:rsidRPr="00276C58">
        <w:rPr>
          <w:rFonts w:cs="Arial" w:hint="cs"/>
          <w:sz w:val="24"/>
          <w:szCs w:val="24"/>
          <w:rtl/>
          <w:lang w:bidi="ar-IQ"/>
        </w:rPr>
        <w:t>نفسه</w:t>
      </w:r>
      <w:r w:rsidRPr="00276C58">
        <w:rPr>
          <w:rFonts w:cs="Arial"/>
          <w:sz w:val="24"/>
          <w:szCs w:val="24"/>
          <w:rtl/>
          <w:lang w:bidi="ar-IQ"/>
        </w:rPr>
        <w:t xml:space="preserve"> </w:t>
      </w:r>
      <w:r w:rsidRPr="00276C58">
        <w:rPr>
          <w:rFonts w:cs="Arial" w:hint="cs"/>
          <w:sz w:val="24"/>
          <w:szCs w:val="24"/>
          <w:rtl/>
          <w:lang w:bidi="ar-IQ"/>
        </w:rPr>
        <w:t>حيث</w:t>
      </w:r>
      <w:r w:rsidRPr="00276C58">
        <w:rPr>
          <w:rFonts w:cs="Arial"/>
          <w:sz w:val="24"/>
          <w:szCs w:val="24"/>
          <w:rtl/>
          <w:lang w:bidi="ar-IQ"/>
        </w:rPr>
        <w:t xml:space="preserve"> </w:t>
      </w:r>
      <w:r w:rsidRPr="00276C58">
        <w:rPr>
          <w:rFonts w:cs="Arial" w:hint="cs"/>
          <w:sz w:val="24"/>
          <w:szCs w:val="24"/>
          <w:rtl/>
          <w:lang w:bidi="ar-IQ"/>
        </w:rPr>
        <w:t>نصت</w:t>
      </w:r>
      <w:r w:rsidRPr="00276C58">
        <w:rPr>
          <w:rFonts w:cs="Arial"/>
          <w:sz w:val="24"/>
          <w:szCs w:val="24"/>
          <w:rtl/>
          <w:lang w:bidi="ar-IQ"/>
        </w:rPr>
        <w:t xml:space="preserve"> </w:t>
      </w:r>
      <w:r w:rsidRPr="00276C58">
        <w:rPr>
          <w:rFonts w:cs="Arial" w:hint="cs"/>
          <w:sz w:val="24"/>
          <w:szCs w:val="24"/>
          <w:rtl/>
          <w:lang w:bidi="ar-IQ"/>
        </w:rPr>
        <w:t>على</w:t>
      </w:r>
      <w:r w:rsidRPr="00276C58">
        <w:rPr>
          <w:rFonts w:cs="Arial"/>
          <w:sz w:val="24"/>
          <w:szCs w:val="24"/>
          <w:rtl/>
          <w:lang w:bidi="ar-IQ"/>
        </w:rPr>
        <w:t xml:space="preserve"> </w:t>
      </w:r>
      <w:r>
        <w:rPr>
          <w:rFonts w:cs="Arial" w:hint="cs"/>
          <w:sz w:val="24"/>
          <w:szCs w:val="24"/>
          <w:rtl/>
          <w:lang w:bidi="ar-IQ"/>
        </w:rPr>
        <w:t xml:space="preserve">" </w:t>
      </w:r>
      <w:r w:rsidRPr="00276C58">
        <w:rPr>
          <w:rFonts w:cs="Arial" w:hint="cs"/>
          <w:sz w:val="24"/>
          <w:szCs w:val="24"/>
          <w:rtl/>
          <w:lang w:bidi="ar-IQ"/>
        </w:rPr>
        <w:t>ان</w:t>
      </w:r>
      <w:r w:rsidRPr="00276C58">
        <w:rPr>
          <w:rFonts w:cs="Arial"/>
          <w:sz w:val="24"/>
          <w:szCs w:val="24"/>
          <w:rtl/>
          <w:lang w:bidi="ar-IQ"/>
        </w:rPr>
        <w:t xml:space="preserve"> </w:t>
      </w:r>
      <w:r w:rsidRPr="00276C58">
        <w:rPr>
          <w:rFonts w:cs="Arial" w:hint="cs"/>
          <w:sz w:val="24"/>
          <w:szCs w:val="24"/>
          <w:rtl/>
          <w:lang w:bidi="ar-IQ"/>
        </w:rPr>
        <w:t>ولاية</w:t>
      </w:r>
      <w:r w:rsidRPr="00276C58">
        <w:rPr>
          <w:rFonts w:cs="Arial"/>
          <w:sz w:val="24"/>
          <w:szCs w:val="24"/>
          <w:rtl/>
          <w:lang w:bidi="ar-IQ"/>
        </w:rPr>
        <w:t xml:space="preserve"> </w:t>
      </w:r>
      <w:r w:rsidRPr="00276C58">
        <w:rPr>
          <w:rFonts w:cs="Arial" w:hint="cs"/>
          <w:sz w:val="24"/>
          <w:szCs w:val="24"/>
          <w:rtl/>
          <w:lang w:bidi="ar-IQ"/>
        </w:rPr>
        <w:t>لقضاء</w:t>
      </w:r>
      <w:r w:rsidRPr="00276C58">
        <w:rPr>
          <w:rFonts w:cs="Arial"/>
          <w:sz w:val="24"/>
          <w:szCs w:val="24"/>
          <w:rtl/>
          <w:lang w:bidi="ar-IQ"/>
        </w:rPr>
        <w:t xml:space="preserve"> </w:t>
      </w:r>
      <w:r w:rsidRPr="00276C58">
        <w:rPr>
          <w:rFonts w:cs="Arial" w:hint="cs"/>
          <w:sz w:val="24"/>
          <w:szCs w:val="24"/>
          <w:rtl/>
          <w:lang w:bidi="ar-IQ"/>
        </w:rPr>
        <w:t>تسري</w:t>
      </w:r>
      <w:r w:rsidRPr="00276C58">
        <w:rPr>
          <w:rFonts w:cs="Arial"/>
          <w:sz w:val="24"/>
          <w:szCs w:val="24"/>
          <w:rtl/>
          <w:lang w:bidi="ar-IQ"/>
        </w:rPr>
        <w:t xml:space="preserve"> </w:t>
      </w:r>
      <w:r w:rsidRPr="00276C58">
        <w:rPr>
          <w:rFonts w:cs="Arial" w:hint="cs"/>
          <w:sz w:val="24"/>
          <w:szCs w:val="24"/>
          <w:rtl/>
          <w:lang w:bidi="ar-IQ"/>
        </w:rPr>
        <w:t>على</w:t>
      </w:r>
      <w:r w:rsidRPr="00276C58">
        <w:rPr>
          <w:rFonts w:cs="Arial"/>
          <w:sz w:val="24"/>
          <w:szCs w:val="24"/>
          <w:rtl/>
          <w:lang w:bidi="ar-IQ"/>
        </w:rPr>
        <w:t xml:space="preserve"> </w:t>
      </w:r>
      <w:r w:rsidRPr="00276C58">
        <w:rPr>
          <w:rFonts w:cs="Arial" w:hint="cs"/>
          <w:sz w:val="24"/>
          <w:szCs w:val="24"/>
          <w:rtl/>
          <w:lang w:bidi="ar-IQ"/>
        </w:rPr>
        <w:t>جميع</w:t>
      </w:r>
      <w:r w:rsidRPr="00276C58">
        <w:rPr>
          <w:rFonts w:cs="Arial"/>
          <w:sz w:val="24"/>
          <w:szCs w:val="24"/>
          <w:rtl/>
          <w:lang w:bidi="ar-IQ"/>
        </w:rPr>
        <w:t xml:space="preserve"> </w:t>
      </w:r>
      <w:r w:rsidRPr="00276C58">
        <w:rPr>
          <w:rFonts w:cs="Arial" w:hint="cs"/>
          <w:sz w:val="24"/>
          <w:szCs w:val="24"/>
          <w:rtl/>
          <w:lang w:bidi="ar-IQ"/>
        </w:rPr>
        <w:t>الاشخاص</w:t>
      </w:r>
      <w:r w:rsidRPr="00276C58">
        <w:rPr>
          <w:rFonts w:cs="Arial"/>
          <w:sz w:val="24"/>
          <w:szCs w:val="24"/>
          <w:rtl/>
          <w:lang w:bidi="ar-IQ"/>
        </w:rPr>
        <w:t xml:space="preserve"> </w:t>
      </w:r>
      <w:r w:rsidRPr="00276C58">
        <w:rPr>
          <w:rFonts w:cs="Arial" w:hint="cs"/>
          <w:sz w:val="24"/>
          <w:szCs w:val="24"/>
          <w:rtl/>
          <w:lang w:bidi="ar-IQ"/>
        </w:rPr>
        <w:t>الطبيعية</w:t>
      </w:r>
      <w:r w:rsidRPr="00276C58">
        <w:rPr>
          <w:rFonts w:cs="Arial"/>
          <w:sz w:val="24"/>
          <w:szCs w:val="24"/>
          <w:rtl/>
          <w:lang w:bidi="ar-IQ"/>
        </w:rPr>
        <w:t xml:space="preserve"> </w:t>
      </w:r>
      <w:r w:rsidRPr="00276C58">
        <w:rPr>
          <w:rFonts w:cs="Arial" w:hint="cs"/>
          <w:sz w:val="24"/>
          <w:szCs w:val="24"/>
          <w:rtl/>
          <w:lang w:bidi="ar-IQ"/>
        </w:rPr>
        <w:t>و</w:t>
      </w:r>
      <w:r w:rsidRPr="00276C58">
        <w:rPr>
          <w:rFonts w:cs="Arial"/>
          <w:sz w:val="24"/>
          <w:szCs w:val="24"/>
          <w:rtl/>
          <w:lang w:bidi="ar-IQ"/>
        </w:rPr>
        <w:t xml:space="preserve"> </w:t>
      </w:r>
      <w:r w:rsidRPr="00276C58">
        <w:rPr>
          <w:rFonts w:cs="Arial" w:hint="cs"/>
          <w:sz w:val="24"/>
          <w:szCs w:val="24"/>
          <w:rtl/>
          <w:lang w:bidi="ar-IQ"/>
        </w:rPr>
        <w:t>المعنوية</w:t>
      </w:r>
      <w:r w:rsidRPr="00276C58">
        <w:rPr>
          <w:rFonts w:cs="Arial"/>
          <w:sz w:val="24"/>
          <w:szCs w:val="24"/>
          <w:rtl/>
          <w:lang w:bidi="ar-IQ"/>
        </w:rPr>
        <w:t xml:space="preserve"> </w:t>
      </w:r>
      <w:r w:rsidRPr="00276C58">
        <w:rPr>
          <w:rFonts w:cs="Arial" w:hint="cs"/>
          <w:sz w:val="24"/>
          <w:szCs w:val="24"/>
          <w:rtl/>
          <w:lang w:bidi="ar-IQ"/>
        </w:rPr>
        <w:t>والخاصة</w:t>
      </w:r>
      <w:r w:rsidRPr="00276C58">
        <w:rPr>
          <w:rFonts w:cs="Arial"/>
          <w:sz w:val="24"/>
          <w:szCs w:val="24"/>
          <w:rtl/>
          <w:lang w:bidi="ar-IQ"/>
        </w:rPr>
        <w:t xml:space="preserve"> </w:t>
      </w:r>
      <w:r w:rsidRPr="00276C58">
        <w:rPr>
          <w:rFonts w:cs="Arial" w:hint="cs"/>
          <w:sz w:val="24"/>
          <w:szCs w:val="24"/>
          <w:rtl/>
          <w:lang w:bidi="ar-IQ"/>
        </w:rPr>
        <w:t>الا</w:t>
      </w:r>
      <w:r w:rsidRPr="00276C58">
        <w:rPr>
          <w:rFonts w:cs="Arial"/>
          <w:sz w:val="24"/>
          <w:szCs w:val="24"/>
          <w:rtl/>
          <w:lang w:bidi="ar-IQ"/>
        </w:rPr>
        <w:t xml:space="preserve"> </w:t>
      </w:r>
      <w:r w:rsidRPr="00276C58">
        <w:rPr>
          <w:rFonts w:cs="Arial" w:hint="cs"/>
          <w:sz w:val="24"/>
          <w:szCs w:val="24"/>
          <w:rtl/>
          <w:lang w:bidi="ar-IQ"/>
        </w:rPr>
        <w:t>ما</w:t>
      </w:r>
      <w:r w:rsidRPr="00276C58">
        <w:rPr>
          <w:rFonts w:cs="Arial"/>
          <w:sz w:val="24"/>
          <w:szCs w:val="24"/>
          <w:rtl/>
          <w:lang w:bidi="ar-IQ"/>
        </w:rPr>
        <w:t xml:space="preserve"> </w:t>
      </w:r>
      <w:r w:rsidRPr="00276C58">
        <w:rPr>
          <w:rFonts w:cs="Arial" w:hint="cs"/>
          <w:sz w:val="24"/>
          <w:szCs w:val="24"/>
          <w:rtl/>
          <w:lang w:bidi="ar-IQ"/>
        </w:rPr>
        <w:t>استثني</w:t>
      </w:r>
      <w:r w:rsidRPr="00276C58">
        <w:rPr>
          <w:rFonts w:cs="Arial"/>
          <w:sz w:val="24"/>
          <w:szCs w:val="24"/>
          <w:rtl/>
          <w:lang w:bidi="ar-IQ"/>
        </w:rPr>
        <w:t xml:space="preserve"> </w:t>
      </w:r>
      <w:r w:rsidRPr="00276C58">
        <w:rPr>
          <w:rFonts w:cs="Arial" w:hint="cs"/>
          <w:sz w:val="24"/>
          <w:szCs w:val="24"/>
          <w:rtl/>
          <w:lang w:bidi="ar-IQ"/>
        </w:rPr>
        <w:t>منها</w:t>
      </w:r>
      <w:r w:rsidRPr="00276C58">
        <w:rPr>
          <w:rFonts w:cs="Arial"/>
          <w:sz w:val="24"/>
          <w:szCs w:val="24"/>
          <w:rtl/>
          <w:lang w:bidi="ar-IQ"/>
        </w:rPr>
        <w:t xml:space="preserve"> </w:t>
      </w:r>
      <w:r w:rsidRPr="00276C58">
        <w:rPr>
          <w:rFonts w:cs="Arial" w:hint="cs"/>
          <w:sz w:val="24"/>
          <w:szCs w:val="24"/>
          <w:rtl/>
          <w:lang w:bidi="ar-IQ"/>
        </w:rPr>
        <w:t>بنص</w:t>
      </w:r>
      <w:r w:rsidRPr="00276C58">
        <w:rPr>
          <w:rFonts w:cs="Arial"/>
          <w:sz w:val="24"/>
          <w:szCs w:val="24"/>
          <w:rtl/>
          <w:lang w:bidi="ar-IQ"/>
        </w:rPr>
        <w:t xml:space="preserve"> </w:t>
      </w:r>
      <w:r w:rsidRPr="00276C58">
        <w:rPr>
          <w:rFonts w:cs="Arial" w:hint="cs"/>
          <w:sz w:val="24"/>
          <w:szCs w:val="24"/>
          <w:rtl/>
          <w:lang w:bidi="ar-IQ"/>
        </w:rPr>
        <w:t>خاص</w:t>
      </w:r>
      <w:r w:rsidRPr="00276C58">
        <w:rPr>
          <w:rFonts w:cs="Arial"/>
          <w:sz w:val="24"/>
          <w:szCs w:val="24"/>
          <w:rtl/>
          <w:lang w:bidi="ar-IQ"/>
        </w:rPr>
        <w:t xml:space="preserve"> </w:t>
      </w:r>
      <w:r>
        <w:rPr>
          <w:rFonts w:cs="Arial" w:hint="cs"/>
          <w:sz w:val="24"/>
          <w:szCs w:val="24"/>
          <w:rtl/>
          <w:lang w:bidi="ar-IQ"/>
        </w:rPr>
        <w:t>"</w:t>
      </w:r>
      <w:r w:rsidRPr="00276C58">
        <w:rPr>
          <w:rFonts w:cs="Arial"/>
          <w:sz w:val="24"/>
          <w:szCs w:val="24"/>
          <w:rtl/>
          <w:lang w:bidi="ar-IQ"/>
        </w:rPr>
        <w:t xml:space="preserve"> .</w:t>
      </w:r>
    </w:p>
  </w:footnote>
  <w:footnote w:id="17">
    <w:p w:rsidR="00184A5E" w:rsidRPr="00276C58" w:rsidRDefault="00184A5E" w:rsidP="00184A5E">
      <w:pPr>
        <w:pStyle w:val="aa"/>
        <w:rPr>
          <w:sz w:val="24"/>
          <w:szCs w:val="24"/>
          <w:rtl/>
          <w:lang w:bidi="ar-IQ"/>
        </w:rPr>
      </w:pPr>
      <w:r w:rsidRPr="00276C58">
        <w:rPr>
          <w:rFonts w:hint="cs"/>
          <w:sz w:val="24"/>
          <w:szCs w:val="24"/>
          <w:rtl/>
        </w:rPr>
        <w:t>(</w:t>
      </w:r>
      <w:r w:rsidRPr="00276C58">
        <w:rPr>
          <w:rStyle w:val="ab"/>
          <w:sz w:val="24"/>
          <w:szCs w:val="24"/>
        </w:rPr>
        <w:footnoteRef/>
      </w:r>
      <w:r w:rsidRPr="00276C58">
        <w:rPr>
          <w:rFonts w:hint="cs"/>
          <w:sz w:val="24"/>
          <w:szCs w:val="24"/>
          <w:rtl/>
        </w:rPr>
        <w:t>)</w:t>
      </w:r>
      <w:r w:rsidRPr="00276C58">
        <w:rPr>
          <w:rFonts w:cs="Arial" w:hint="cs"/>
          <w:sz w:val="24"/>
          <w:szCs w:val="24"/>
          <w:rtl/>
          <w:lang w:bidi="ar-IQ"/>
        </w:rPr>
        <w:t xml:space="preserve"> قرار</w:t>
      </w:r>
      <w:r w:rsidRPr="00276C58">
        <w:rPr>
          <w:rFonts w:cs="Arial"/>
          <w:sz w:val="24"/>
          <w:szCs w:val="24"/>
          <w:rtl/>
          <w:lang w:bidi="ar-IQ"/>
        </w:rPr>
        <w:t xml:space="preserve"> </w:t>
      </w:r>
      <w:r w:rsidRPr="00276C58">
        <w:rPr>
          <w:rFonts w:cs="Arial" w:hint="cs"/>
          <w:sz w:val="24"/>
          <w:szCs w:val="24"/>
          <w:rtl/>
          <w:lang w:bidi="ar-IQ"/>
        </w:rPr>
        <w:t>محكمة</w:t>
      </w:r>
      <w:r w:rsidRPr="00276C58">
        <w:rPr>
          <w:rFonts w:cs="Arial"/>
          <w:sz w:val="24"/>
          <w:szCs w:val="24"/>
          <w:rtl/>
          <w:lang w:bidi="ar-IQ"/>
        </w:rPr>
        <w:t xml:space="preserve"> </w:t>
      </w:r>
      <w:r w:rsidRPr="00276C58">
        <w:rPr>
          <w:rFonts w:cs="Arial" w:hint="cs"/>
          <w:sz w:val="24"/>
          <w:szCs w:val="24"/>
          <w:rtl/>
          <w:lang w:bidi="ar-IQ"/>
        </w:rPr>
        <w:t>التمييز</w:t>
      </w:r>
      <w:r w:rsidRPr="00276C58">
        <w:rPr>
          <w:rFonts w:cs="Arial"/>
          <w:sz w:val="24"/>
          <w:szCs w:val="24"/>
          <w:rtl/>
          <w:lang w:bidi="ar-IQ"/>
        </w:rPr>
        <w:t xml:space="preserve"> </w:t>
      </w:r>
      <w:r w:rsidRPr="00276C58">
        <w:rPr>
          <w:rFonts w:cs="Arial" w:hint="cs"/>
          <w:sz w:val="24"/>
          <w:szCs w:val="24"/>
          <w:rtl/>
          <w:lang w:bidi="ar-IQ"/>
        </w:rPr>
        <w:t>العراقية</w:t>
      </w:r>
      <w:r w:rsidRPr="00276C58">
        <w:rPr>
          <w:rFonts w:cs="Arial"/>
          <w:sz w:val="24"/>
          <w:szCs w:val="24"/>
          <w:rtl/>
          <w:lang w:bidi="ar-IQ"/>
        </w:rPr>
        <w:t xml:space="preserve"> </w:t>
      </w:r>
      <w:r w:rsidRPr="00276C58">
        <w:rPr>
          <w:rFonts w:cs="Arial" w:hint="cs"/>
          <w:sz w:val="24"/>
          <w:szCs w:val="24"/>
          <w:rtl/>
          <w:lang w:bidi="ar-IQ"/>
        </w:rPr>
        <w:t>رقم</w:t>
      </w:r>
      <w:r w:rsidRPr="00276C58">
        <w:rPr>
          <w:rFonts w:cs="Arial"/>
          <w:sz w:val="24"/>
          <w:szCs w:val="24"/>
          <w:rtl/>
          <w:lang w:bidi="ar-IQ"/>
        </w:rPr>
        <w:t xml:space="preserve"> (35</w:t>
      </w:r>
      <w:r>
        <w:rPr>
          <w:rFonts w:cs="Arial"/>
          <w:sz w:val="24"/>
          <w:szCs w:val="24"/>
          <w:rtl/>
          <w:lang w:bidi="ar-IQ"/>
        </w:rPr>
        <w:t xml:space="preserve">) </w:t>
      </w:r>
      <w:r w:rsidRPr="00276C58">
        <w:rPr>
          <w:rFonts w:cs="Arial" w:hint="cs"/>
          <w:sz w:val="24"/>
          <w:szCs w:val="24"/>
          <w:rtl/>
          <w:lang w:bidi="ar-IQ"/>
        </w:rPr>
        <w:t>حقوقية</w:t>
      </w:r>
      <w:r w:rsidRPr="00276C58">
        <w:rPr>
          <w:rFonts w:cs="Arial"/>
          <w:sz w:val="24"/>
          <w:szCs w:val="24"/>
          <w:rtl/>
          <w:lang w:bidi="ar-IQ"/>
        </w:rPr>
        <w:t xml:space="preserve"> </w:t>
      </w:r>
      <w:r w:rsidRPr="00276C58">
        <w:rPr>
          <w:rFonts w:cs="Arial" w:hint="cs"/>
          <w:sz w:val="24"/>
          <w:szCs w:val="24"/>
          <w:rtl/>
          <w:lang w:bidi="ar-IQ"/>
        </w:rPr>
        <w:t>ثانية</w:t>
      </w:r>
      <w:r w:rsidRPr="00276C58">
        <w:rPr>
          <w:rFonts w:cs="Arial"/>
          <w:sz w:val="24"/>
          <w:szCs w:val="24"/>
          <w:rtl/>
          <w:lang w:bidi="ar-IQ"/>
        </w:rPr>
        <w:t xml:space="preserve"> 75 </w:t>
      </w:r>
      <w:r w:rsidRPr="00276C58">
        <w:rPr>
          <w:rFonts w:cs="Arial" w:hint="cs"/>
          <w:sz w:val="24"/>
          <w:szCs w:val="24"/>
          <w:rtl/>
          <w:lang w:bidi="ar-IQ"/>
        </w:rPr>
        <w:t>الصادر</w:t>
      </w:r>
      <w:r w:rsidRPr="00276C58">
        <w:rPr>
          <w:rFonts w:cs="Arial"/>
          <w:sz w:val="24"/>
          <w:szCs w:val="24"/>
          <w:rtl/>
          <w:lang w:bidi="ar-IQ"/>
        </w:rPr>
        <w:t xml:space="preserve"> </w:t>
      </w:r>
      <w:r w:rsidRPr="00276C58">
        <w:rPr>
          <w:rFonts w:cs="Arial" w:hint="cs"/>
          <w:sz w:val="24"/>
          <w:szCs w:val="24"/>
          <w:rtl/>
          <w:lang w:bidi="ar-IQ"/>
        </w:rPr>
        <w:t>في</w:t>
      </w:r>
      <w:r w:rsidRPr="00276C58">
        <w:rPr>
          <w:rFonts w:cs="Arial"/>
          <w:sz w:val="24"/>
          <w:szCs w:val="24"/>
          <w:rtl/>
          <w:lang w:bidi="ar-IQ"/>
        </w:rPr>
        <w:t xml:space="preserve"> 22 / 1 / 1970.</w:t>
      </w:r>
    </w:p>
  </w:footnote>
  <w:footnote w:id="18">
    <w:p w:rsidR="00184A5E" w:rsidRPr="003645FA" w:rsidRDefault="00184A5E" w:rsidP="00184A5E">
      <w:pPr>
        <w:pStyle w:val="aa"/>
        <w:jc w:val="both"/>
        <w:rPr>
          <w:sz w:val="24"/>
          <w:szCs w:val="24"/>
          <w:rtl/>
          <w:lang w:bidi="ar-IQ"/>
        </w:rPr>
      </w:pPr>
      <w:r w:rsidRPr="003645FA">
        <w:rPr>
          <w:rFonts w:hint="cs"/>
          <w:sz w:val="24"/>
          <w:szCs w:val="24"/>
          <w:rtl/>
        </w:rPr>
        <w:t>(</w:t>
      </w:r>
      <w:r w:rsidRPr="003645FA">
        <w:rPr>
          <w:rStyle w:val="ab"/>
          <w:sz w:val="24"/>
          <w:szCs w:val="24"/>
        </w:rPr>
        <w:footnoteRef/>
      </w:r>
      <w:r w:rsidRPr="003645FA">
        <w:rPr>
          <w:rFonts w:hint="cs"/>
          <w:sz w:val="24"/>
          <w:szCs w:val="24"/>
          <w:rtl/>
        </w:rPr>
        <w:t xml:space="preserve">) </w:t>
      </w:r>
      <w:r w:rsidRPr="003645FA">
        <w:rPr>
          <w:rFonts w:cs="Arial" w:hint="cs"/>
          <w:sz w:val="24"/>
          <w:szCs w:val="24"/>
          <w:rtl/>
          <w:lang w:bidi="ar-IQ"/>
        </w:rPr>
        <w:t>نصت</w:t>
      </w:r>
      <w:r w:rsidRPr="003645FA">
        <w:rPr>
          <w:rFonts w:cs="Arial"/>
          <w:sz w:val="24"/>
          <w:szCs w:val="24"/>
          <w:rtl/>
          <w:lang w:bidi="ar-IQ"/>
        </w:rPr>
        <w:t xml:space="preserve"> </w:t>
      </w:r>
      <w:r w:rsidRPr="003645FA">
        <w:rPr>
          <w:rFonts w:cs="Arial" w:hint="cs"/>
          <w:sz w:val="24"/>
          <w:szCs w:val="24"/>
          <w:rtl/>
          <w:lang w:bidi="ar-IQ"/>
        </w:rPr>
        <w:t>المادة</w:t>
      </w:r>
      <w:r w:rsidRPr="003645FA">
        <w:rPr>
          <w:rFonts w:cs="Arial"/>
          <w:sz w:val="24"/>
          <w:szCs w:val="24"/>
          <w:rtl/>
          <w:lang w:bidi="ar-IQ"/>
        </w:rPr>
        <w:t xml:space="preserve"> (11 / </w:t>
      </w:r>
      <w:r w:rsidRPr="003645FA">
        <w:rPr>
          <w:rFonts w:cs="Arial" w:hint="cs"/>
          <w:sz w:val="24"/>
          <w:szCs w:val="24"/>
          <w:rtl/>
          <w:lang w:bidi="ar-IQ"/>
        </w:rPr>
        <w:t>ز</w:t>
      </w:r>
      <w:r w:rsidRPr="003645FA">
        <w:rPr>
          <w:rFonts w:cs="Arial"/>
          <w:sz w:val="24"/>
          <w:szCs w:val="24"/>
          <w:rtl/>
          <w:lang w:bidi="ar-IQ"/>
        </w:rPr>
        <w:t xml:space="preserve">) </w:t>
      </w:r>
      <w:r w:rsidRPr="003645FA">
        <w:rPr>
          <w:rFonts w:cs="Arial" w:hint="cs"/>
          <w:sz w:val="24"/>
          <w:szCs w:val="24"/>
          <w:rtl/>
          <w:lang w:bidi="ar-IQ"/>
        </w:rPr>
        <w:t>من</w:t>
      </w:r>
      <w:r w:rsidRPr="003645FA">
        <w:rPr>
          <w:rFonts w:cs="Arial"/>
          <w:sz w:val="24"/>
          <w:szCs w:val="24"/>
          <w:rtl/>
          <w:lang w:bidi="ar-IQ"/>
        </w:rPr>
        <w:t xml:space="preserve"> </w:t>
      </w:r>
      <w:r w:rsidRPr="003645FA">
        <w:rPr>
          <w:rFonts w:cs="Arial" w:hint="cs"/>
          <w:sz w:val="24"/>
          <w:szCs w:val="24"/>
          <w:rtl/>
          <w:lang w:bidi="ar-IQ"/>
        </w:rPr>
        <w:t>قانون</w:t>
      </w:r>
      <w:r w:rsidRPr="003645FA">
        <w:rPr>
          <w:rFonts w:cs="Arial"/>
          <w:sz w:val="24"/>
          <w:szCs w:val="24"/>
          <w:rtl/>
          <w:lang w:bidi="ar-IQ"/>
        </w:rPr>
        <w:t xml:space="preserve"> </w:t>
      </w:r>
      <w:r w:rsidRPr="003645FA">
        <w:rPr>
          <w:rFonts w:cs="Arial" w:hint="cs"/>
          <w:sz w:val="24"/>
          <w:szCs w:val="24"/>
          <w:rtl/>
          <w:lang w:bidi="ar-IQ"/>
        </w:rPr>
        <w:t>ادارة</w:t>
      </w:r>
      <w:r w:rsidRPr="003645FA">
        <w:rPr>
          <w:rFonts w:cs="Arial"/>
          <w:sz w:val="24"/>
          <w:szCs w:val="24"/>
          <w:rtl/>
          <w:lang w:bidi="ar-IQ"/>
        </w:rPr>
        <w:t xml:space="preserve"> </w:t>
      </w:r>
      <w:r w:rsidRPr="003645FA">
        <w:rPr>
          <w:rFonts w:cs="Arial" w:hint="cs"/>
          <w:sz w:val="24"/>
          <w:szCs w:val="24"/>
          <w:rtl/>
          <w:lang w:bidi="ar-IQ"/>
        </w:rPr>
        <w:t>الدولة</w:t>
      </w:r>
      <w:r w:rsidRPr="003645FA">
        <w:rPr>
          <w:rFonts w:cs="Arial"/>
          <w:sz w:val="24"/>
          <w:szCs w:val="24"/>
          <w:rtl/>
          <w:lang w:bidi="ar-IQ"/>
        </w:rPr>
        <w:t xml:space="preserve"> </w:t>
      </w:r>
      <w:r w:rsidRPr="003645FA">
        <w:rPr>
          <w:rFonts w:cs="Arial" w:hint="cs"/>
          <w:sz w:val="24"/>
          <w:szCs w:val="24"/>
          <w:rtl/>
          <w:lang w:bidi="ar-IQ"/>
        </w:rPr>
        <w:t>لعام</w:t>
      </w:r>
      <w:r w:rsidRPr="003645FA">
        <w:rPr>
          <w:rFonts w:cs="Arial"/>
          <w:sz w:val="24"/>
          <w:szCs w:val="24"/>
          <w:rtl/>
          <w:lang w:bidi="ar-IQ"/>
        </w:rPr>
        <w:t xml:space="preserve"> 2004 </w:t>
      </w:r>
      <w:r w:rsidRPr="003645FA">
        <w:rPr>
          <w:rFonts w:cs="Arial" w:hint="cs"/>
          <w:sz w:val="24"/>
          <w:szCs w:val="24"/>
          <w:rtl/>
          <w:lang w:bidi="ar-IQ"/>
        </w:rPr>
        <w:t>على</w:t>
      </w:r>
      <w:r w:rsidRPr="003645FA">
        <w:rPr>
          <w:rFonts w:cs="Arial"/>
          <w:sz w:val="24"/>
          <w:szCs w:val="24"/>
          <w:rtl/>
          <w:lang w:bidi="ar-IQ"/>
        </w:rPr>
        <w:t xml:space="preserve"> </w:t>
      </w:r>
      <w:r w:rsidRPr="003645FA">
        <w:rPr>
          <w:rFonts w:cs="Arial" w:hint="cs"/>
          <w:sz w:val="24"/>
          <w:szCs w:val="24"/>
          <w:rtl/>
          <w:lang w:bidi="ar-IQ"/>
        </w:rPr>
        <w:t>ان</w:t>
      </w:r>
      <w:r>
        <w:rPr>
          <w:rFonts w:cs="Arial" w:hint="cs"/>
          <w:sz w:val="24"/>
          <w:szCs w:val="24"/>
          <w:rtl/>
          <w:lang w:bidi="ar-IQ"/>
        </w:rPr>
        <w:t xml:space="preserve"> "</w:t>
      </w:r>
      <w:r w:rsidRPr="003645FA">
        <w:rPr>
          <w:rFonts w:cs="Arial"/>
          <w:sz w:val="24"/>
          <w:szCs w:val="24"/>
          <w:rtl/>
          <w:lang w:bidi="ar-IQ"/>
        </w:rPr>
        <w:t xml:space="preserve"> </w:t>
      </w:r>
      <w:r w:rsidRPr="003645FA">
        <w:rPr>
          <w:rFonts w:cs="Arial" w:hint="cs"/>
          <w:sz w:val="24"/>
          <w:szCs w:val="24"/>
          <w:rtl/>
          <w:lang w:bidi="ar-IQ"/>
        </w:rPr>
        <w:t>المحاكم</w:t>
      </w:r>
      <w:r w:rsidRPr="003645FA">
        <w:rPr>
          <w:rFonts w:cs="Arial"/>
          <w:sz w:val="24"/>
          <w:szCs w:val="24"/>
          <w:rtl/>
          <w:lang w:bidi="ar-IQ"/>
        </w:rPr>
        <w:t xml:space="preserve"> </w:t>
      </w:r>
      <w:r w:rsidRPr="003645FA">
        <w:rPr>
          <w:rFonts w:cs="Arial" w:hint="cs"/>
          <w:sz w:val="24"/>
          <w:szCs w:val="24"/>
          <w:rtl/>
          <w:lang w:bidi="ar-IQ"/>
        </w:rPr>
        <w:t>تنظر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w:t>
      </w:r>
      <w:r w:rsidRPr="003645FA">
        <w:rPr>
          <w:rFonts w:cs="Arial" w:hint="cs"/>
          <w:sz w:val="24"/>
          <w:szCs w:val="24"/>
          <w:rtl/>
          <w:lang w:bidi="ar-IQ"/>
        </w:rPr>
        <w:t>كل</w:t>
      </w:r>
      <w:r w:rsidRPr="003645FA">
        <w:rPr>
          <w:rFonts w:cs="Arial"/>
          <w:sz w:val="24"/>
          <w:szCs w:val="24"/>
          <w:rtl/>
          <w:lang w:bidi="ar-IQ"/>
        </w:rPr>
        <w:t xml:space="preserve"> </w:t>
      </w:r>
      <w:r w:rsidRPr="003645FA">
        <w:rPr>
          <w:rFonts w:cs="Arial" w:hint="cs"/>
          <w:sz w:val="24"/>
          <w:szCs w:val="24"/>
          <w:rtl/>
          <w:lang w:bidi="ar-IQ"/>
        </w:rPr>
        <w:t>المنازعات</w:t>
      </w:r>
      <w:r w:rsidRPr="003645FA">
        <w:rPr>
          <w:rFonts w:cs="Arial"/>
          <w:sz w:val="24"/>
          <w:szCs w:val="24"/>
          <w:rtl/>
          <w:lang w:bidi="ar-IQ"/>
        </w:rPr>
        <w:t xml:space="preserve"> </w:t>
      </w:r>
      <w:r w:rsidRPr="003645FA">
        <w:rPr>
          <w:rFonts w:cs="Arial" w:hint="cs"/>
          <w:sz w:val="24"/>
          <w:szCs w:val="24"/>
          <w:rtl/>
          <w:lang w:bidi="ar-IQ"/>
        </w:rPr>
        <w:t>التي</w:t>
      </w:r>
      <w:r w:rsidRPr="003645FA">
        <w:rPr>
          <w:rFonts w:cs="Arial"/>
          <w:sz w:val="24"/>
          <w:szCs w:val="24"/>
          <w:rtl/>
          <w:lang w:bidi="ar-IQ"/>
        </w:rPr>
        <w:t xml:space="preserve"> </w:t>
      </w:r>
      <w:r w:rsidRPr="003645FA">
        <w:rPr>
          <w:rFonts w:cs="Arial" w:hint="cs"/>
          <w:sz w:val="24"/>
          <w:szCs w:val="24"/>
          <w:rtl/>
          <w:lang w:bidi="ar-IQ"/>
        </w:rPr>
        <w:t>تنشأ</w:t>
      </w:r>
      <w:r w:rsidRPr="003645FA">
        <w:rPr>
          <w:rFonts w:cs="Arial"/>
          <w:sz w:val="24"/>
          <w:szCs w:val="24"/>
          <w:rtl/>
          <w:lang w:bidi="ar-IQ"/>
        </w:rPr>
        <w:t xml:space="preserve"> </w:t>
      </w:r>
      <w:r w:rsidRPr="003645FA">
        <w:rPr>
          <w:rFonts w:cs="Arial" w:hint="cs"/>
          <w:sz w:val="24"/>
          <w:szCs w:val="24"/>
          <w:rtl/>
          <w:lang w:bidi="ar-IQ"/>
        </w:rPr>
        <w:t>عن</w:t>
      </w:r>
      <w:r w:rsidRPr="003645FA">
        <w:rPr>
          <w:rFonts w:cs="Arial"/>
          <w:sz w:val="24"/>
          <w:szCs w:val="24"/>
          <w:rtl/>
          <w:lang w:bidi="ar-IQ"/>
        </w:rPr>
        <w:t xml:space="preserve"> </w:t>
      </w:r>
      <w:r w:rsidRPr="003645FA">
        <w:rPr>
          <w:rFonts w:cs="Arial" w:hint="cs"/>
          <w:sz w:val="24"/>
          <w:szCs w:val="24"/>
          <w:rtl/>
          <w:lang w:bidi="ar-IQ"/>
        </w:rPr>
        <w:t>تطبيق</w:t>
      </w:r>
      <w:r w:rsidRPr="003645FA">
        <w:rPr>
          <w:rFonts w:cs="Arial"/>
          <w:sz w:val="24"/>
          <w:szCs w:val="24"/>
          <w:rtl/>
          <w:lang w:bidi="ar-IQ"/>
        </w:rPr>
        <w:t xml:space="preserve"> </w:t>
      </w:r>
      <w:r w:rsidRPr="003645FA">
        <w:rPr>
          <w:rFonts w:cs="Arial" w:hint="cs"/>
          <w:sz w:val="24"/>
          <w:szCs w:val="24"/>
          <w:rtl/>
          <w:lang w:bidi="ar-IQ"/>
        </w:rPr>
        <w:t>الاحكام</w:t>
      </w:r>
      <w:r w:rsidRPr="003645FA">
        <w:rPr>
          <w:rFonts w:cs="Arial"/>
          <w:sz w:val="24"/>
          <w:szCs w:val="24"/>
          <w:rtl/>
          <w:lang w:bidi="ar-IQ"/>
        </w:rPr>
        <w:t xml:space="preserve"> </w:t>
      </w:r>
      <w:r w:rsidRPr="003645FA">
        <w:rPr>
          <w:rFonts w:cs="Arial" w:hint="cs"/>
          <w:sz w:val="24"/>
          <w:szCs w:val="24"/>
          <w:rtl/>
          <w:lang w:bidi="ar-IQ"/>
        </w:rPr>
        <w:t>الخاصة</w:t>
      </w:r>
      <w:r w:rsidRPr="003645FA">
        <w:rPr>
          <w:rFonts w:cs="Arial"/>
          <w:sz w:val="24"/>
          <w:szCs w:val="24"/>
          <w:rtl/>
          <w:lang w:bidi="ar-IQ"/>
        </w:rPr>
        <w:t xml:space="preserve"> </w:t>
      </w:r>
      <w:r w:rsidRPr="003645FA">
        <w:rPr>
          <w:rFonts w:cs="Arial" w:hint="cs"/>
          <w:sz w:val="24"/>
          <w:szCs w:val="24"/>
          <w:rtl/>
          <w:lang w:bidi="ar-IQ"/>
        </w:rPr>
        <w:t>بالجنسية</w:t>
      </w:r>
      <w:r w:rsidRPr="003645FA">
        <w:rPr>
          <w:rFonts w:cs="Arial"/>
          <w:sz w:val="24"/>
          <w:szCs w:val="24"/>
          <w:rtl/>
          <w:lang w:bidi="ar-IQ"/>
        </w:rPr>
        <w:t xml:space="preserve"> </w:t>
      </w:r>
      <w:r>
        <w:rPr>
          <w:rFonts w:cs="Arial" w:hint="cs"/>
          <w:sz w:val="24"/>
          <w:szCs w:val="24"/>
          <w:rtl/>
          <w:lang w:bidi="ar-IQ"/>
        </w:rPr>
        <w:t>"</w:t>
      </w:r>
      <w:r w:rsidRPr="003645FA">
        <w:rPr>
          <w:rFonts w:cs="Arial"/>
          <w:sz w:val="24"/>
          <w:szCs w:val="24"/>
          <w:rtl/>
          <w:lang w:bidi="ar-IQ"/>
        </w:rPr>
        <w:t xml:space="preserve"> .</w:t>
      </w:r>
    </w:p>
  </w:footnote>
  <w:footnote w:id="19">
    <w:p w:rsidR="00184A5E" w:rsidRPr="003645FA" w:rsidRDefault="00184A5E" w:rsidP="00184A5E">
      <w:pPr>
        <w:pStyle w:val="aa"/>
        <w:jc w:val="both"/>
        <w:rPr>
          <w:sz w:val="24"/>
          <w:szCs w:val="24"/>
          <w:rtl/>
          <w:lang w:bidi="ar-IQ"/>
        </w:rPr>
      </w:pPr>
      <w:r w:rsidRPr="003645FA">
        <w:rPr>
          <w:rFonts w:hint="cs"/>
          <w:sz w:val="24"/>
          <w:szCs w:val="24"/>
          <w:rtl/>
        </w:rPr>
        <w:t>(</w:t>
      </w:r>
      <w:r w:rsidRPr="003645FA">
        <w:rPr>
          <w:rStyle w:val="ab"/>
          <w:sz w:val="24"/>
          <w:szCs w:val="24"/>
        </w:rPr>
        <w:footnoteRef/>
      </w:r>
      <w:r w:rsidRPr="003645FA">
        <w:rPr>
          <w:rFonts w:hint="cs"/>
          <w:sz w:val="24"/>
          <w:szCs w:val="24"/>
          <w:rtl/>
        </w:rPr>
        <w:t xml:space="preserve">) </w:t>
      </w:r>
      <w:r w:rsidRPr="003645FA">
        <w:rPr>
          <w:rFonts w:cs="Arial" w:hint="cs"/>
          <w:sz w:val="24"/>
          <w:szCs w:val="24"/>
          <w:rtl/>
          <w:lang w:bidi="ar-IQ"/>
        </w:rPr>
        <w:t>انظر</w:t>
      </w:r>
      <w:r w:rsidRPr="003645FA">
        <w:rPr>
          <w:rFonts w:cs="Arial"/>
          <w:sz w:val="24"/>
          <w:szCs w:val="24"/>
          <w:rtl/>
          <w:lang w:bidi="ar-IQ"/>
        </w:rPr>
        <w:t xml:space="preserve"> </w:t>
      </w:r>
      <w:r w:rsidRPr="003645FA">
        <w:rPr>
          <w:rFonts w:cs="Arial" w:hint="cs"/>
          <w:sz w:val="24"/>
          <w:szCs w:val="24"/>
          <w:rtl/>
          <w:lang w:bidi="ar-IQ"/>
        </w:rPr>
        <w:t>القرار</w:t>
      </w:r>
      <w:r w:rsidRPr="003645FA">
        <w:rPr>
          <w:rFonts w:cs="Arial"/>
          <w:sz w:val="24"/>
          <w:szCs w:val="24"/>
          <w:rtl/>
          <w:lang w:bidi="ar-IQ"/>
        </w:rPr>
        <w:t xml:space="preserve"> </w:t>
      </w:r>
      <w:r w:rsidRPr="003645FA">
        <w:rPr>
          <w:rFonts w:cs="Arial" w:hint="cs"/>
          <w:sz w:val="24"/>
          <w:szCs w:val="24"/>
          <w:rtl/>
          <w:lang w:bidi="ar-IQ"/>
        </w:rPr>
        <w:t>رقم</w:t>
      </w:r>
      <w:r w:rsidRPr="003645FA">
        <w:rPr>
          <w:rFonts w:cs="Arial"/>
          <w:sz w:val="24"/>
          <w:szCs w:val="24"/>
          <w:rtl/>
          <w:lang w:bidi="ar-IQ"/>
        </w:rPr>
        <w:t xml:space="preserve"> 4 / </w:t>
      </w:r>
      <w:r w:rsidRPr="003645FA">
        <w:rPr>
          <w:rFonts w:cs="Arial" w:hint="cs"/>
          <w:sz w:val="24"/>
          <w:szCs w:val="24"/>
          <w:rtl/>
          <w:lang w:bidi="ar-IQ"/>
        </w:rPr>
        <w:t>اتحادية</w:t>
      </w:r>
      <w:r w:rsidRPr="003645FA">
        <w:rPr>
          <w:rFonts w:cs="Arial"/>
          <w:sz w:val="24"/>
          <w:szCs w:val="24"/>
          <w:rtl/>
          <w:lang w:bidi="ar-IQ"/>
        </w:rPr>
        <w:t xml:space="preserve"> / </w:t>
      </w:r>
      <w:r w:rsidRPr="003645FA">
        <w:rPr>
          <w:rFonts w:cs="Arial" w:hint="cs"/>
          <w:sz w:val="24"/>
          <w:szCs w:val="24"/>
          <w:rtl/>
          <w:lang w:bidi="ar-IQ"/>
        </w:rPr>
        <w:t>تمييز</w:t>
      </w:r>
      <w:r w:rsidRPr="003645FA">
        <w:rPr>
          <w:rFonts w:cs="Arial"/>
          <w:sz w:val="24"/>
          <w:szCs w:val="24"/>
          <w:rtl/>
          <w:lang w:bidi="ar-IQ"/>
        </w:rPr>
        <w:t xml:space="preserve"> 2007 </w:t>
      </w:r>
      <w:r w:rsidRPr="003645FA">
        <w:rPr>
          <w:rFonts w:cs="Arial" w:hint="cs"/>
          <w:sz w:val="24"/>
          <w:szCs w:val="24"/>
          <w:rtl/>
          <w:lang w:bidi="ar-IQ"/>
        </w:rPr>
        <w:t>الصادر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26 / 4 / 2007 , </w:t>
      </w:r>
      <w:r w:rsidRPr="003645FA">
        <w:rPr>
          <w:rFonts w:cs="Arial" w:hint="cs"/>
          <w:sz w:val="24"/>
          <w:szCs w:val="24"/>
          <w:rtl/>
          <w:lang w:bidi="ar-IQ"/>
        </w:rPr>
        <w:t>و</w:t>
      </w:r>
      <w:r w:rsidRPr="003645FA">
        <w:rPr>
          <w:rFonts w:cs="Arial"/>
          <w:sz w:val="24"/>
          <w:szCs w:val="24"/>
          <w:rtl/>
          <w:lang w:bidi="ar-IQ"/>
        </w:rPr>
        <w:t xml:space="preserve"> </w:t>
      </w:r>
      <w:r w:rsidRPr="003645FA">
        <w:rPr>
          <w:rFonts w:cs="Arial" w:hint="cs"/>
          <w:sz w:val="24"/>
          <w:szCs w:val="24"/>
          <w:rtl/>
          <w:lang w:bidi="ar-IQ"/>
        </w:rPr>
        <w:t>القرار</w:t>
      </w:r>
      <w:r w:rsidRPr="003645FA">
        <w:rPr>
          <w:rFonts w:cs="Arial"/>
          <w:sz w:val="24"/>
          <w:szCs w:val="24"/>
          <w:rtl/>
          <w:lang w:bidi="ar-IQ"/>
        </w:rPr>
        <w:t xml:space="preserve"> </w:t>
      </w:r>
      <w:r w:rsidRPr="003645FA">
        <w:rPr>
          <w:rFonts w:cs="Arial" w:hint="cs"/>
          <w:sz w:val="24"/>
          <w:szCs w:val="24"/>
          <w:rtl/>
          <w:lang w:bidi="ar-IQ"/>
        </w:rPr>
        <w:t>رقم</w:t>
      </w:r>
      <w:r w:rsidRPr="003645FA">
        <w:rPr>
          <w:rFonts w:cs="Arial"/>
          <w:sz w:val="24"/>
          <w:szCs w:val="24"/>
          <w:rtl/>
          <w:lang w:bidi="ar-IQ"/>
        </w:rPr>
        <w:t xml:space="preserve"> 26 / </w:t>
      </w:r>
      <w:r w:rsidRPr="003645FA">
        <w:rPr>
          <w:rFonts w:cs="Arial" w:hint="cs"/>
          <w:sz w:val="24"/>
          <w:szCs w:val="24"/>
          <w:rtl/>
          <w:lang w:bidi="ar-IQ"/>
        </w:rPr>
        <w:t>اتحادية</w:t>
      </w:r>
      <w:r w:rsidRPr="003645FA">
        <w:rPr>
          <w:rFonts w:cs="Arial"/>
          <w:sz w:val="24"/>
          <w:szCs w:val="24"/>
          <w:rtl/>
          <w:lang w:bidi="ar-IQ"/>
        </w:rPr>
        <w:t xml:space="preserve"> / </w:t>
      </w:r>
      <w:r w:rsidRPr="003645FA">
        <w:rPr>
          <w:rFonts w:cs="Arial" w:hint="cs"/>
          <w:sz w:val="24"/>
          <w:szCs w:val="24"/>
          <w:rtl/>
          <w:lang w:bidi="ar-IQ"/>
        </w:rPr>
        <w:t>تمييز</w:t>
      </w:r>
      <w:r w:rsidRPr="003645FA">
        <w:rPr>
          <w:rFonts w:cs="Arial"/>
          <w:sz w:val="24"/>
          <w:szCs w:val="24"/>
          <w:rtl/>
          <w:lang w:bidi="ar-IQ"/>
        </w:rPr>
        <w:t xml:space="preserve"> 2008 </w:t>
      </w:r>
      <w:r w:rsidRPr="003645FA">
        <w:rPr>
          <w:rFonts w:cs="Arial" w:hint="cs"/>
          <w:sz w:val="24"/>
          <w:szCs w:val="24"/>
          <w:rtl/>
          <w:lang w:bidi="ar-IQ"/>
        </w:rPr>
        <w:t>الصادر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20 / 7 / 2008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وكذلك</w:t>
      </w:r>
      <w:r w:rsidRPr="003645FA">
        <w:rPr>
          <w:rFonts w:cs="Arial"/>
          <w:sz w:val="24"/>
          <w:szCs w:val="24"/>
          <w:rtl/>
          <w:lang w:bidi="ar-IQ"/>
        </w:rPr>
        <w:t xml:space="preserve"> </w:t>
      </w:r>
      <w:r w:rsidRPr="003645FA">
        <w:rPr>
          <w:rFonts w:cs="Arial" w:hint="cs"/>
          <w:sz w:val="24"/>
          <w:szCs w:val="24"/>
          <w:rtl/>
          <w:lang w:bidi="ar-IQ"/>
        </w:rPr>
        <w:t>القرار</w:t>
      </w:r>
      <w:r w:rsidRPr="003645FA">
        <w:rPr>
          <w:rFonts w:cs="Arial"/>
          <w:sz w:val="24"/>
          <w:szCs w:val="24"/>
          <w:rtl/>
          <w:lang w:bidi="ar-IQ"/>
        </w:rPr>
        <w:t xml:space="preserve"> </w:t>
      </w:r>
      <w:r w:rsidRPr="003645FA">
        <w:rPr>
          <w:rFonts w:cs="Arial" w:hint="cs"/>
          <w:sz w:val="24"/>
          <w:szCs w:val="24"/>
          <w:rtl/>
          <w:lang w:bidi="ar-IQ"/>
        </w:rPr>
        <w:t>رقم</w:t>
      </w:r>
      <w:r w:rsidRPr="003645FA">
        <w:rPr>
          <w:rFonts w:cs="Arial"/>
          <w:sz w:val="24"/>
          <w:szCs w:val="24"/>
          <w:rtl/>
          <w:lang w:bidi="ar-IQ"/>
        </w:rPr>
        <w:t xml:space="preserve"> 2 / </w:t>
      </w:r>
      <w:r w:rsidRPr="003645FA">
        <w:rPr>
          <w:rFonts w:cs="Arial" w:hint="cs"/>
          <w:sz w:val="24"/>
          <w:szCs w:val="24"/>
          <w:rtl/>
          <w:lang w:bidi="ar-IQ"/>
        </w:rPr>
        <w:t>اتحادية</w:t>
      </w:r>
      <w:r w:rsidRPr="003645FA">
        <w:rPr>
          <w:rFonts w:cs="Arial"/>
          <w:sz w:val="24"/>
          <w:szCs w:val="24"/>
          <w:rtl/>
          <w:lang w:bidi="ar-IQ"/>
        </w:rPr>
        <w:t xml:space="preserve"> / </w:t>
      </w:r>
      <w:r w:rsidRPr="003645FA">
        <w:rPr>
          <w:rFonts w:cs="Arial" w:hint="cs"/>
          <w:sz w:val="24"/>
          <w:szCs w:val="24"/>
          <w:rtl/>
          <w:lang w:bidi="ar-IQ"/>
        </w:rPr>
        <w:t>تمييز</w:t>
      </w:r>
      <w:r w:rsidRPr="003645FA">
        <w:rPr>
          <w:rFonts w:cs="Arial"/>
          <w:sz w:val="24"/>
          <w:szCs w:val="24"/>
          <w:rtl/>
          <w:lang w:bidi="ar-IQ"/>
        </w:rPr>
        <w:t xml:space="preserve"> 2009 </w:t>
      </w:r>
      <w:r w:rsidRPr="003645FA">
        <w:rPr>
          <w:rFonts w:cs="Arial" w:hint="cs"/>
          <w:sz w:val="24"/>
          <w:szCs w:val="24"/>
          <w:rtl/>
          <w:lang w:bidi="ar-IQ"/>
        </w:rPr>
        <w:t>الصادر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25 / 1 / 2009 .</w:t>
      </w:r>
    </w:p>
  </w:footnote>
  <w:footnote w:id="20">
    <w:p w:rsidR="00184A5E" w:rsidRPr="003645FA" w:rsidRDefault="00184A5E" w:rsidP="00184A5E">
      <w:pPr>
        <w:pStyle w:val="aa"/>
        <w:rPr>
          <w:sz w:val="24"/>
          <w:szCs w:val="24"/>
          <w:lang w:bidi="ar-IQ"/>
        </w:rPr>
      </w:pPr>
      <w:r w:rsidRPr="003645FA">
        <w:rPr>
          <w:rFonts w:hint="cs"/>
          <w:sz w:val="24"/>
          <w:szCs w:val="24"/>
          <w:rtl/>
        </w:rPr>
        <w:t>(</w:t>
      </w:r>
      <w:r w:rsidRPr="003645FA">
        <w:rPr>
          <w:rStyle w:val="ab"/>
          <w:sz w:val="24"/>
          <w:szCs w:val="24"/>
        </w:rPr>
        <w:footnoteRef/>
      </w:r>
      <w:r w:rsidRPr="003645FA">
        <w:rPr>
          <w:rFonts w:hint="cs"/>
          <w:sz w:val="24"/>
          <w:szCs w:val="24"/>
          <w:rtl/>
        </w:rPr>
        <w:t>)</w:t>
      </w:r>
      <w:r w:rsidRPr="003645FA">
        <w:rPr>
          <w:rFonts w:cs="Arial" w:hint="cs"/>
          <w:sz w:val="24"/>
          <w:szCs w:val="24"/>
          <w:rtl/>
          <w:lang w:bidi="ar-IQ"/>
        </w:rPr>
        <w:t xml:space="preserve"> د</w:t>
      </w:r>
      <w:r w:rsidRPr="003645FA">
        <w:rPr>
          <w:rFonts w:cs="Arial"/>
          <w:sz w:val="24"/>
          <w:szCs w:val="24"/>
          <w:rtl/>
          <w:lang w:bidi="ar-IQ"/>
        </w:rPr>
        <w:t xml:space="preserve"> . </w:t>
      </w:r>
      <w:r w:rsidRPr="003645FA">
        <w:rPr>
          <w:rFonts w:cs="Arial" w:hint="cs"/>
          <w:sz w:val="24"/>
          <w:szCs w:val="24"/>
          <w:rtl/>
          <w:lang w:bidi="ar-IQ"/>
        </w:rPr>
        <w:t>عباس</w:t>
      </w:r>
      <w:r w:rsidRPr="003645FA">
        <w:rPr>
          <w:rFonts w:cs="Arial"/>
          <w:sz w:val="24"/>
          <w:szCs w:val="24"/>
          <w:rtl/>
          <w:lang w:bidi="ar-IQ"/>
        </w:rPr>
        <w:t xml:space="preserve"> </w:t>
      </w:r>
      <w:r w:rsidRPr="003645FA">
        <w:rPr>
          <w:rFonts w:cs="Arial" w:hint="cs"/>
          <w:sz w:val="24"/>
          <w:szCs w:val="24"/>
          <w:rtl/>
          <w:lang w:bidi="ar-IQ"/>
        </w:rPr>
        <w:t>العبودي</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مصدر</w:t>
      </w:r>
      <w:r w:rsidRPr="003645FA">
        <w:rPr>
          <w:rFonts w:cs="Arial"/>
          <w:sz w:val="24"/>
          <w:szCs w:val="24"/>
          <w:rtl/>
          <w:lang w:bidi="ar-IQ"/>
        </w:rPr>
        <w:t xml:space="preserve"> </w:t>
      </w:r>
      <w:r w:rsidRPr="003645FA">
        <w:rPr>
          <w:rFonts w:cs="Arial" w:hint="cs"/>
          <w:sz w:val="24"/>
          <w:szCs w:val="24"/>
          <w:rtl/>
          <w:lang w:bidi="ar-IQ"/>
        </w:rPr>
        <w:t>سابق</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ص</w:t>
      </w:r>
      <w:r w:rsidRPr="003645FA">
        <w:rPr>
          <w:rFonts w:cs="Arial"/>
          <w:sz w:val="24"/>
          <w:szCs w:val="24"/>
          <w:rtl/>
          <w:lang w:bidi="ar-IQ"/>
        </w:rPr>
        <w:t xml:space="preserve"> 181 </w:t>
      </w:r>
      <w:r w:rsidRPr="003645FA">
        <w:rPr>
          <w:rFonts w:cs="Arial" w:hint="cs"/>
          <w:sz w:val="24"/>
          <w:szCs w:val="24"/>
          <w:rtl/>
          <w:lang w:bidi="ar-IQ"/>
        </w:rPr>
        <w:t>و</w:t>
      </w:r>
      <w:r w:rsidRPr="003645FA">
        <w:rPr>
          <w:rFonts w:cs="Arial"/>
          <w:sz w:val="24"/>
          <w:szCs w:val="24"/>
          <w:rtl/>
          <w:lang w:bidi="ar-IQ"/>
        </w:rPr>
        <w:t xml:space="preserve"> </w:t>
      </w:r>
      <w:r w:rsidRPr="003645FA">
        <w:rPr>
          <w:rFonts w:cs="Arial" w:hint="cs"/>
          <w:sz w:val="24"/>
          <w:szCs w:val="24"/>
          <w:rtl/>
          <w:lang w:bidi="ar-IQ"/>
        </w:rPr>
        <w:t>ما</w:t>
      </w:r>
      <w:r w:rsidRPr="003645FA">
        <w:rPr>
          <w:rFonts w:cs="Arial"/>
          <w:sz w:val="24"/>
          <w:szCs w:val="24"/>
          <w:rtl/>
          <w:lang w:bidi="ar-IQ"/>
        </w:rPr>
        <w:t xml:space="preserve"> </w:t>
      </w:r>
      <w:r w:rsidRPr="003645FA">
        <w:rPr>
          <w:rFonts w:cs="Arial" w:hint="cs"/>
          <w:sz w:val="24"/>
          <w:szCs w:val="24"/>
          <w:rtl/>
          <w:lang w:bidi="ar-IQ"/>
        </w:rPr>
        <w:t>بعدها</w:t>
      </w:r>
      <w:r w:rsidRPr="003645FA">
        <w:rPr>
          <w:rFonts w:cs="Arial"/>
          <w:sz w:val="24"/>
          <w:szCs w:val="24"/>
          <w:rtl/>
          <w:lang w:bidi="ar-IQ"/>
        </w:rPr>
        <w:t xml:space="preserve"> .</w:t>
      </w:r>
    </w:p>
  </w:footnote>
  <w:footnote w:id="21">
    <w:p w:rsidR="00184A5E" w:rsidRPr="003645FA" w:rsidRDefault="00184A5E" w:rsidP="00184A5E">
      <w:pPr>
        <w:pStyle w:val="aa"/>
        <w:rPr>
          <w:sz w:val="24"/>
          <w:szCs w:val="24"/>
          <w:lang w:bidi="ar-IQ"/>
        </w:rPr>
      </w:pPr>
      <w:r w:rsidRPr="003645FA">
        <w:rPr>
          <w:rFonts w:hint="cs"/>
          <w:sz w:val="24"/>
          <w:szCs w:val="24"/>
          <w:rtl/>
        </w:rPr>
        <w:t>(</w:t>
      </w:r>
      <w:r w:rsidRPr="003645FA">
        <w:rPr>
          <w:rStyle w:val="ab"/>
          <w:sz w:val="24"/>
          <w:szCs w:val="24"/>
        </w:rPr>
        <w:footnoteRef/>
      </w:r>
      <w:r w:rsidRPr="003645FA">
        <w:rPr>
          <w:rFonts w:hint="cs"/>
          <w:sz w:val="24"/>
          <w:szCs w:val="24"/>
          <w:rtl/>
        </w:rPr>
        <w:t>)</w:t>
      </w:r>
      <w:r>
        <w:rPr>
          <w:rFonts w:cs="Arial" w:hint="cs"/>
          <w:sz w:val="24"/>
          <w:szCs w:val="24"/>
          <w:rtl/>
          <w:lang w:bidi="ar-IQ"/>
        </w:rPr>
        <w:t xml:space="preserve"> </w:t>
      </w:r>
      <w:r w:rsidRPr="003645FA">
        <w:rPr>
          <w:rFonts w:cs="Arial" w:hint="cs"/>
          <w:sz w:val="24"/>
          <w:szCs w:val="24"/>
          <w:rtl/>
          <w:lang w:bidi="ar-IQ"/>
        </w:rPr>
        <w:t>المصدر</w:t>
      </w:r>
      <w:r w:rsidRPr="003645FA">
        <w:rPr>
          <w:rFonts w:cs="Arial"/>
          <w:sz w:val="24"/>
          <w:szCs w:val="24"/>
          <w:rtl/>
          <w:lang w:bidi="ar-IQ"/>
        </w:rPr>
        <w:t xml:space="preserve"> </w:t>
      </w:r>
      <w:r w:rsidRPr="003645FA">
        <w:rPr>
          <w:rFonts w:cs="Arial" w:hint="cs"/>
          <w:sz w:val="24"/>
          <w:szCs w:val="24"/>
          <w:rtl/>
          <w:lang w:bidi="ar-IQ"/>
        </w:rPr>
        <w:t>نفسه</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ص</w:t>
      </w:r>
      <w:r w:rsidRPr="003645FA">
        <w:rPr>
          <w:rFonts w:cs="Arial"/>
          <w:sz w:val="24"/>
          <w:szCs w:val="24"/>
          <w:rtl/>
          <w:lang w:bidi="ar-IQ"/>
        </w:rPr>
        <w:t xml:space="preserve"> 183 .</w:t>
      </w:r>
    </w:p>
  </w:footnote>
  <w:footnote w:id="22">
    <w:p w:rsidR="00184A5E" w:rsidRPr="003645FA" w:rsidRDefault="00184A5E" w:rsidP="00184A5E">
      <w:pPr>
        <w:pStyle w:val="aa"/>
        <w:rPr>
          <w:sz w:val="24"/>
          <w:szCs w:val="24"/>
          <w:rtl/>
          <w:lang w:bidi="ar-IQ"/>
        </w:rPr>
      </w:pPr>
      <w:r w:rsidRPr="003645FA">
        <w:rPr>
          <w:rFonts w:hint="cs"/>
          <w:sz w:val="24"/>
          <w:szCs w:val="24"/>
          <w:rtl/>
        </w:rPr>
        <w:t>(</w:t>
      </w:r>
      <w:r w:rsidRPr="003645FA">
        <w:rPr>
          <w:rStyle w:val="ab"/>
          <w:sz w:val="24"/>
          <w:szCs w:val="24"/>
        </w:rPr>
        <w:footnoteRef/>
      </w:r>
      <w:r w:rsidRPr="003645FA">
        <w:rPr>
          <w:rFonts w:hint="cs"/>
          <w:sz w:val="24"/>
          <w:szCs w:val="24"/>
          <w:rtl/>
        </w:rPr>
        <w:t>)</w:t>
      </w:r>
      <w:r w:rsidRPr="003645FA">
        <w:rPr>
          <w:rFonts w:cs="Arial" w:hint="cs"/>
          <w:sz w:val="24"/>
          <w:szCs w:val="24"/>
          <w:rtl/>
          <w:lang w:bidi="ar-IQ"/>
        </w:rPr>
        <w:t xml:space="preserve"> د</w:t>
      </w:r>
      <w:r w:rsidRPr="003645FA">
        <w:rPr>
          <w:rFonts w:cs="Arial"/>
          <w:sz w:val="24"/>
          <w:szCs w:val="24"/>
          <w:rtl/>
          <w:lang w:bidi="ar-IQ"/>
        </w:rPr>
        <w:t xml:space="preserve"> . </w:t>
      </w:r>
      <w:r w:rsidRPr="003645FA">
        <w:rPr>
          <w:rFonts w:cs="Arial" w:hint="cs"/>
          <w:sz w:val="24"/>
          <w:szCs w:val="24"/>
          <w:rtl/>
          <w:lang w:bidi="ar-IQ"/>
        </w:rPr>
        <w:t>عباس</w:t>
      </w:r>
      <w:r w:rsidRPr="003645FA">
        <w:rPr>
          <w:rFonts w:cs="Arial"/>
          <w:sz w:val="24"/>
          <w:szCs w:val="24"/>
          <w:rtl/>
          <w:lang w:bidi="ar-IQ"/>
        </w:rPr>
        <w:t xml:space="preserve"> </w:t>
      </w:r>
      <w:r w:rsidRPr="003645FA">
        <w:rPr>
          <w:rFonts w:cs="Arial" w:hint="cs"/>
          <w:sz w:val="24"/>
          <w:szCs w:val="24"/>
          <w:rtl/>
          <w:lang w:bidi="ar-IQ"/>
        </w:rPr>
        <w:t>العبودي</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مصدر</w:t>
      </w:r>
      <w:r w:rsidRPr="003645FA">
        <w:rPr>
          <w:rFonts w:cs="Arial"/>
          <w:sz w:val="24"/>
          <w:szCs w:val="24"/>
          <w:rtl/>
          <w:lang w:bidi="ar-IQ"/>
        </w:rPr>
        <w:t xml:space="preserve"> </w:t>
      </w:r>
      <w:r w:rsidRPr="003645FA">
        <w:rPr>
          <w:rFonts w:cs="Arial" w:hint="cs"/>
          <w:sz w:val="24"/>
          <w:szCs w:val="24"/>
          <w:rtl/>
          <w:lang w:bidi="ar-IQ"/>
        </w:rPr>
        <w:t>سابق</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ص</w:t>
      </w:r>
      <w:r w:rsidRPr="003645FA">
        <w:rPr>
          <w:rFonts w:cs="Arial"/>
          <w:sz w:val="24"/>
          <w:szCs w:val="24"/>
          <w:rtl/>
          <w:lang w:bidi="ar-IQ"/>
        </w:rPr>
        <w:t xml:space="preserve"> 184 .</w:t>
      </w:r>
    </w:p>
  </w:footnote>
  <w:footnote w:id="23">
    <w:p w:rsidR="00184A5E" w:rsidRPr="00E7646B" w:rsidRDefault="00184A5E" w:rsidP="00184A5E">
      <w:pPr>
        <w:pStyle w:val="aa"/>
        <w:jc w:val="both"/>
        <w:rPr>
          <w:sz w:val="24"/>
          <w:szCs w:val="24"/>
          <w:rtl/>
          <w:lang w:bidi="ar-IQ"/>
        </w:rPr>
      </w:pPr>
      <w:r w:rsidRPr="00E7646B">
        <w:rPr>
          <w:rFonts w:hint="cs"/>
          <w:sz w:val="24"/>
          <w:szCs w:val="24"/>
          <w:rtl/>
        </w:rPr>
        <w:t>(</w:t>
      </w:r>
      <w:r w:rsidRPr="00E7646B">
        <w:rPr>
          <w:rStyle w:val="ab"/>
          <w:sz w:val="24"/>
          <w:szCs w:val="24"/>
        </w:rPr>
        <w:footnoteRef/>
      </w:r>
      <w:r w:rsidRPr="00E7646B">
        <w:rPr>
          <w:rFonts w:hint="cs"/>
          <w:sz w:val="24"/>
          <w:szCs w:val="24"/>
          <w:rtl/>
        </w:rPr>
        <w:t>)</w:t>
      </w:r>
      <w:r w:rsidRPr="00E7646B">
        <w:rPr>
          <w:rFonts w:cs="Arial" w:hint="cs"/>
          <w:sz w:val="24"/>
          <w:szCs w:val="24"/>
          <w:rtl/>
          <w:lang w:bidi="ar-IQ"/>
        </w:rPr>
        <w:t xml:space="preserve"> نصت</w:t>
      </w:r>
      <w:r w:rsidRPr="00E7646B">
        <w:rPr>
          <w:rFonts w:cs="Arial"/>
          <w:sz w:val="24"/>
          <w:szCs w:val="24"/>
          <w:rtl/>
          <w:lang w:bidi="ar-IQ"/>
        </w:rPr>
        <w:t xml:space="preserve"> </w:t>
      </w:r>
      <w:r w:rsidRPr="00E7646B">
        <w:rPr>
          <w:rFonts w:cs="Arial" w:hint="cs"/>
          <w:sz w:val="24"/>
          <w:szCs w:val="24"/>
          <w:rtl/>
          <w:lang w:bidi="ar-IQ"/>
        </w:rPr>
        <w:t>المادة</w:t>
      </w:r>
      <w:r w:rsidRPr="00E7646B">
        <w:rPr>
          <w:rFonts w:cs="Arial"/>
          <w:sz w:val="24"/>
          <w:szCs w:val="24"/>
          <w:rtl/>
          <w:lang w:bidi="ar-IQ"/>
        </w:rPr>
        <w:t xml:space="preserve"> (105) </w:t>
      </w:r>
      <w:r w:rsidRPr="00E7646B">
        <w:rPr>
          <w:rFonts w:cs="Arial" w:hint="cs"/>
          <w:sz w:val="24"/>
          <w:szCs w:val="24"/>
          <w:rtl/>
          <w:lang w:bidi="ar-IQ"/>
        </w:rPr>
        <w:t>من</w:t>
      </w:r>
      <w:r w:rsidRPr="00E7646B">
        <w:rPr>
          <w:rFonts w:cs="Arial"/>
          <w:sz w:val="24"/>
          <w:szCs w:val="24"/>
          <w:rtl/>
          <w:lang w:bidi="ar-IQ"/>
        </w:rPr>
        <w:t xml:space="preserve"> </w:t>
      </w:r>
      <w:r w:rsidRPr="00E7646B">
        <w:rPr>
          <w:rFonts w:cs="Arial" w:hint="cs"/>
          <w:sz w:val="24"/>
          <w:szCs w:val="24"/>
          <w:rtl/>
          <w:lang w:bidi="ar-IQ"/>
        </w:rPr>
        <w:t>قانون</w:t>
      </w:r>
      <w:r w:rsidRPr="00E7646B">
        <w:rPr>
          <w:rFonts w:cs="Arial"/>
          <w:sz w:val="24"/>
          <w:szCs w:val="24"/>
          <w:rtl/>
          <w:lang w:bidi="ar-IQ"/>
        </w:rPr>
        <w:t xml:space="preserve"> </w:t>
      </w:r>
      <w:r w:rsidRPr="00E7646B">
        <w:rPr>
          <w:rFonts w:cs="Arial" w:hint="cs"/>
          <w:sz w:val="24"/>
          <w:szCs w:val="24"/>
          <w:rtl/>
          <w:lang w:bidi="ar-IQ"/>
        </w:rPr>
        <w:t>الاثبات</w:t>
      </w:r>
      <w:r w:rsidRPr="00E7646B">
        <w:rPr>
          <w:rFonts w:cs="Arial"/>
          <w:sz w:val="24"/>
          <w:szCs w:val="24"/>
          <w:rtl/>
          <w:lang w:bidi="ar-IQ"/>
        </w:rPr>
        <w:t xml:space="preserve"> </w:t>
      </w:r>
      <w:r w:rsidRPr="00E7646B">
        <w:rPr>
          <w:rFonts w:cs="Arial" w:hint="cs"/>
          <w:sz w:val="24"/>
          <w:szCs w:val="24"/>
          <w:rtl/>
          <w:lang w:bidi="ar-IQ"/>
        </w:rPr>
        <w:t>العراقي</w:t>
      </w:r>
      <w:r w:rsidRPr="00E7646B">
        <w:rPr>
          <w:rFonts w:cs="Arial"/>
          <w:sz w:val="24"/>
          <w:szCs w:val="24"/>
          <w:rtl/>
          <w:lang w:bidi="ar-IQ"/>
        </w:rPr>
        <w:t xml:space="preserve"> </w:t>
      </w:r>
      <w:r w:rsidRPr="00E7646B">
        <w:rPr>
          <w:rFonts w:cs="Arial" w:hint="cs"/>
          <w:sz w:val="24"/>
          <w:szCs w:val="24"/>
          <w:rtl/>
          <w:lang w:bidi="ar-IQ"/>
        </w:rPr>
        <w:t>رقم</w:t>
      </w:r>
      <w:r w:rsidRPr="00E7646B">
        <w:rPr>
          <w:rFonts w:cs="Arial"/>
          <w:sz w:val="24"/>
          <w:szCs w:val="24"/>
          <w:rtl/>
          <w:lang w:bidi="ar-IQ"/>
        </w:rPr>
        <w:t xml:space="preserve"> ( 107 ) </w:t>
      </w:r>
      <w:r w:rsidRPr="00E7646B">
        <w:rPr>
          <w:rFonts w:cs="Arial" w:hint="cs"/>
          <w:sz w:val="24"/>
          <w:szCs w:val="24"/>
          <w:rtl/>
          <w:lang w:bidi="ar-IQ"/>
        </w:rPr>
        <w:t>لسنة</w:t>
      </w:r>
      <w:r w:rsidRPr="00E7646B">
        <w:rPr>
          <w:rFonts w:cs="Arial"/>
          <w:sz w:val="24"/>
          <w:szCs w:val="24"/>
          <w:rtl/>
          <w:lang w:bidi="ar-IQ"/>
        </w:rPr>
        <w:t xml:space="preserve"> 1979 </w:t>
      </w:r>
      <w:r w:rsidRPr="00E7646B">
        <w:rPr>
          <w:rFonts w:cs="Arial" w:hint="cs"/>
          <w:sz w:val="24"/>
          <w:szCs w:val="24"/>
          <w:rtl/>
          <w:lang w:bidi="ar-IQ"/>
        </w:rPr>
        <w:t>على</w:t>
      </w:r>
      <w:r w:rsidRPr="00E7646B">
        <w:rPr>
          <w:rFonts w:cs="Arial"/>
          <w:sz w:val="24"/>
          <w:szCs w:val="24"/>
          <w:rtl/>
          <w:lang w:bidi="ar-IQ"/>
        </w:rPr>
        <w:t xml:space="preserve"> </w:t>
      </w:r>
      <w:r w:rsidRPr="00E7646B">
        <w:rPr>
          <w:rFonts w:cs="Arial" w:hint="cs"/>
          <w:sz w:val="24"/>
          <w:szCs w:val="24"/>
          <w:rtl/>
          <w:lang w:bidi="ar-IQ"/>
        </w:rPr>
        <w:t>ان</w:t>
      </w:r>
      <w:r w:rsidRPr="00E7646B">
        <w:rPr>
          <w:rFonts w:cs="Arial"/>
          <w:sz w:val="24"/>
          <w:szCs w:val="24"/>
          <w:rtl/>
          <w:lang w:bidi="ar-IQ"/>
        </w:rPr>
        <w:t xml:space="preserve"> </w:t>
      </w:r>
      <w:r>
        <w:rPr>
          <w:rFonts w:cs="Arial" w:hint="cs"/>
          <w:sz w:val="24"/>
          <w:szCs w:val="24"/>
          <w:rtl/>
          <w:lang w:bidi="ar-IQ"/>
        </w:rPr>
        <w:t xml:space="preserve">" </w:t>
      </w:r>
      <w:r w:rsidRPr="00E7646B">
        <w:rPr>
          <w:rFonts w:cs="Arial" w:hint="cs"/>
          <w:sz w:val="24"/>
          <w:szCs w:val="24"/>
          <w:rtl/>
          <w:lang w:bidi="ar-IQ"/>
        </w:rPr>
        <w:t>للأحكام</w:t>
      </w:r>
      <w:r w:rsidRPr="00E7646B">
        <w:rPr>
          <w:rFonts w:cs="Arial"/>
          <w:sz w:val="24"/>
          <w:szCs w:val="24"/>
          <w:rtl/>
          <w:lang w:bidi="ar-IQ"/>
        </w:rPr>
        <w:t xml:space="preserve"> </w:t>
      </w:r>
      <w:r w:rsidRPr="00E7646B">
        <w:rPr>
          <w:rFonts w:cs="Arial" w:hint="cs"/>
          <w:sz w:val="24"/>
          <w:szCs w:val="24"/>
          <w:rtl/>
          <w:lang w:bidi="ar-IQ"/>
        </w:rPr>
        <w:t>الصادرة</w:t>
      </w:r>
      <w:r w:rsidRPr="00E7646B">
        <w:rPr>
          <w:rFonts w:cs="Arial"/>
          <w:sz w:val="24"/>
          <w:szCs w:val="24"/>
          <w:rtl/>
          <w:lang w:bidi="ar-IQ"/>
        </w:rPr>
        <w:t xml:space="preserve"> </w:t>
      </w:r>
      <w:r w:rsidRPr="00E7646B">
        <w:rPr>
          <w:rFonts w:cs="Arial" w:hint="cs"/>
          <w:sz w:val="24"/>
          <w:szCs w:val="24"/>
          <w:rtl/>
          <w:lang w:bidi="ar-IQ"/>
        </w:rPr>
        <w:t>من</w:t>
      </w:r>
      <w:r w:rsidRPr="00E7646B">
        <w:rPr>
          <w:rFonts w:cs="Arial"/>
          <w:sz w:val="24"/>
          <w:szCs w:val="24"/>
          <w:rtl/>
          <w:lang w:bidi="ar-IQ"/>
        </w:rPr>
        <w:t xml:space="preserve"> </w:t>
      </w:r>
      <w:r w:rsidRPr="00E7646B">
        <w:rPr>
          <w:rFonts w:cs="Arial" w:hint="cs"/>
          <w:sz w:val="24"/>
          <w:szCs w:val="24"/>
          <w:rtl/>
          <w:lang w:bidi="ar-IQ"/>
        </w:rPr>
        <w:t>المحاكم</w:t>
      </w:r>
      <w:r w:rsidRPr="00E7646B">
        <w:rPr>
          <w:rFonts w:cs="Arial"/>
          <w:sz w:val="24"/>
          <w:szCs w:val="24"/>
          <w:rtl/>
          <w:lang w:bidi="ar-IQ"/>
        </w:rPr>
        <w:t xml:space="preserve"> </w:t>
      </w:r>
      <w:r w:rsidRPr="00E7646B">
        <w:rPr>
          <w:rFonts w:cs="Arial" w:hint="cs"/>
          <w:sz w:val="24"/>
          <w:szCs w:val="24"/>
          <w:rtl/>
          <w:lang w:bidi="ar-IQ"/>
        </w:rPr>
        <w:t>العراقية</w:t>
      </w:r>
      <w:r w:rsidRPr="00E7646B">
        <w:rPr>
          <w:rFonts w:cs="Arial"/>
          <w:sz w:val="24"/>
          <w:szCs w:val="24"/>
          <w:rtl/>
          <w:lang w:bidi="ar-IQ"/>
        </w:rPr>
        <w:t xml:space="preserve"> </w:t>
      </w:r>
      <w:r w:rsidRPr="00E7646B">
        <w:rPr>
          <w:rFonts w:cs="Arial" w:hint="cs"/>
          <w:sz w:val="24"/>
          <w:szCs w:val="24"/>
          <w:rtl/>
          <w:lang w:bidi="ar-IQ"/>
        </w:rPr>
        <w:t>التي</w:t>
      </w:r>
      <w:r w:rsidRPr="00E7646B">
        <w:rPr>
          <w:rFonts w:cs="Arial"/>
          <w:sz w:val="24"/>
          <w:szCs w:val="24"/>
          <w:rtl/>
          <w:lang w:bidi="ar-IQ"/>
        </w:rPr>
        <w:t xml:space="preserve"> </w:t>
      </w:r>
      <w:r w:rsidRPr="00E7646B">
        <w:rPr>
          <w:rFonts w:cs="Arial" w:hint="cs"/>
          <w:sz w:val="24"/>
          <w:szCs w:val="24"/>
          <w:rtl/>
          <w:lang w:bidi="ar-IQ"/>
        </w:rPr>
        <w:t>حازت</w:t>
      </w:r>
      <w:r w:rsidRPr="00E7646B">
        <w:rPr>
          <w:rFonts w:cs="Arial"/>
          <w:sz w:val="24"/>
          <w:szCs w:val="24"/>
          <w:rtl/>
          <w:lang w:bidi="ar-IQ"/>
        </w:rPr>
        <w:t xml:space="preserve"> </w:t>
      </w:r>
      <w:r w:rsidRPr="00E7646B">
        <w:rPr>
          <w:rFonts w:cs="Arial" w:hint="cs"/>
          <w:sz w:val="24"/>
          <w:szCs w:val="24"/>
          <w:rtl/>
          <w:lang w:bidi="ar-IQ"/>
        </w:rPr>
        <w:t>درجة</w:t>
      </w:r>
      <w:r w:rsidRPr="00E7646B">
        <w:rPr>
          <w:rFonts w:cs="Arial"/>
          <w:sz w:val="24"/>
          <w:szCs w:val="24"/>
          <w:rtl/>
          <w:lang w:bidi="ar-IQ"/>
        </w:rPr>
        <w:t xml:space="preserve"> </w:t>
      </w:r>
      <w:r w:rsidRPr="00E7646B">
        <w:rPr>
          <w:rFonts w:cs="Arial" w:hint="cs"/>
          <w:sz w:val="24"/>
          <w:szCs w:val="24"/>
          <w:rtl/>
          <w:lang w:bidi="ar-IQ"/>
        </w:rPr>
        <w:t>البتات</w:t>
      </w:r>
      <w:r w:rsidRPr="00E7646B">
        <w:rPr>
          <w:rFonts w:cs="Arial"/>
          <w:sz w:val="24"/>
          <w:szCs w:val="24"/>
          <w:rtl/>
          <w:lang w:bidi="ar-IQ"/>
        </w:rPr>
        <w:t xml:space="preserve"> </w:t>
      </w:r>
      <w:r w:rsidRPr="00E7646B">
        <w:rPr>
          <w:rFonts w:cs="Arial" w:hint="cs"/>
          <w:sz w:val="24"/>
          <w:szCs w:val="24"/>
          <w:rtl/>
          <w:lang w:bidi="ar-IQ"/>
        </w:rPr>
        <w:t>تكون</w:t>
      </w:r>
      <w:r w:rsidRPr="00E7646B">
        <w:rPr>
          <w:rFonts w:cs="Arial"/>
          <w:sz w:val="24"/>
          <w:szCs w:val="24"/>
          <w:rtl/>
          <w:lang w:bidi="ar-IQ"/>
        </w:rPr>
        <w:t xml:space="preserve"> </w:t>
      </w:r>
      <w:r w:rsidRPr="00E7646B">
        <w:rPr>
          <w:rFonts w:cs="Arial" w:hint="cs"/>
          <w:sz w:val="24"/>
          <w:szCs w:val="24"/>
          <w:rtl/>
          <w:lang w:bidi="ar-IQ"/>
        </w:rPr>
        <w:t>حجة</w:t>
      </w:r>
      <w:r w:rsidRPr="00E7646B">
        <w:rPr>
          <w:rFonts w:cs="Arial"/>
          <w:sz w:val="24"/>
          <w:szCs w:val="24"/>
          <w:rtl/>
          <w:lang w:bidi="ar-IQ"/>
        </w:rPr>
        <w:t xml:space="preserve"> </w:t>
      </w:r>
      <w:r w:rsidRPr="00E7646B">
        <w:rPr>
          <w:rFonts w:cs="Arial" w:hint="cs"/>
          <w:sz w:val="24"/>
          <w:szCs w:val="24"/>
          <w:rtl/>
          <w:lang w:bidi="ar-IQ"/>
        </w:rPr>
        <w:t>بما</w:t>
      </w:r>
      <w:r w:rsidRPr="00E7646B">
        <w:rPr>
          <w:rFonts w:cs="Arial"/>
          <w:sz w:val="24"/>
          <w:szCs w:val="24"/>
          <w:rtl/>
          <w:lang w:bidi="ar-IQ"/>
        </w:rPr>
        <w:t xml:space="preserve"> </w:t>
      </w:r>
      <w:r w:rsidRPr="00E7646B">
        <w:rPr>
          <w:rFonts w:cs="Arial" w:hint="cs"/>
          <w:sz w:val="24"/>
          <w:szCs w:val="24"/>
          <w:rtl/>
          <w:lang w:bidi="ar-IQ"/>
        </w:rPr>
        <w:t>فصلت</w:t>
      </w:r>
      <w:r w:rsidRPr="00E7646B">
        <w:rPr>
          <w:rFonts w:cs="Arial"/>
          <w:sz w:val="24"/>
          <w:szCs w:val="24"/>
          <w:rtl/>
          <w:lang w:bidi="ar-IQ"/>
        </w:rPr>
        <w:t xml:space="preserve"> </w:t>
      </w:r>
      <w:r w:rsidRPr="00E7646B">
        <w:rPr>
          <w:rFonts w:cs="Arial" w:hint="cs"/>
          <w:sz w:val="24"/>
          <w:szCs w:val="24"/>
          <w:rtl/>
          <w:lang w:bidi="ar-IQ"/>
        </w:rPr>
        <w:t>فيه</w:t>
      </w:r>
      <w:r w:rsidRPr="00E7646B">
        <w:rPr>
          <w:rFonts w:cs="Arial"/>
          <w:sz w:val="24"/>
          <w:szCs w:val="24"/>
          <w:rtl/>
          <w:lang w:bidi="ar-IQ"/>
        </w:rPr>
        <w:t xml:space="preserve"> </w:t>
      </w:r>
      <w:r w:rsidRPr="00E7646B">
        <w:rPr>
          <w:rFonts w:cs="Arial" w:hint="cs"/>
          <w:sz w:val="24"/>
          <w:szCs w:val="24"/>
          <w:rtl/>
          <w:lang w:bidi="ar-IQ"/>
        </w:rPr>
        <w:t>من</w:t>
      </w:r>
      <w:r w:rsidRPr="00E7646B">
        <w:rPr>
          <w:rFonts w:cs="Arial"/>
          <w:sz w:val="24"/>
          <w:szCs w:val="24"/>
          <w:rtl/>
          <w:lang w:bidi="ar-IQ"/>
        </w:rPr>
        <w:t xml:space="preserve"> </w:t>
      </w:r>
      <w:r w:rsidRPr="00E7646B">
        <w:rPr>
          <w:rFonts w:cs="Arial" w:hint="cs"/>
          <w:sz w:val="24"/>
          <w:szCs w:val="24"/>
          <w:rtl/>
          <w:lang w:bidi="ar-IQ"/>
        </w:rPr>
        <w:t>الحقوق</w:t>
      </w:r>
      <w:r w:rsidRPr="00E7646B">
        <w:rPr>
          <w:rFonts w:cs="Arial"/>
          <w:sz w:val="24"/>
          <w:szCs w:val="24"/>
          <w:rtl/>
          <w:lang w:bidi="ar-IQ"/>
        </w:rPr>
        <w:t xml:space="preserve"> </w:t>
      </w:r>
      <w:r w:rsidRPr="00E7646B">
        <w:rPr>
          <w:rFonts w:cs="Arial" w:hint="cs"/>
          <w:sz w:val="24"/>
          <w:szCs w:val="24"/>
          <w:rtl/>
          <w:lang w:bidi="ar-IQ"/>
        </w:rPr>
        <w:t>اذا</w:t>
      </w:r>
      <w:r w:rsidRPr="00E7646B">
        <w:rPr>
          <w:rFonts w:cs="Arial"/>
          <w:sz w:val="24"/>
          <w:szCs w:val="24"/>
          <w:rtl/>
          <w:lang w:bidi="ar-IQ"/>
        </w:rPr>
        <w:t xml:space="preserve"> </w:t>
      </w:r>
      <w:r w:rsidRPr="00E7646B">
        <w:rPr>
          <w:rFonts w:cs="Arial" w:hint="cs"/>
          <w:sz w:val="24"/>
          <w:szCs w:val="24"/>
          <w:rtl/>
          <w:lang w:bidi="ar-IQ"/>
        </w:rPr>
        <w:t>اتحد</w:t>
      </w:r>
      <w:r w:rsidRPr="00E7646B">
        <w:rPr>
          <w:rFonts w:cs="Arial"/>
          <w:sz w:val="24"/>
          <w:szCs w:val="24"/>
          <w:rtl/>
          <w:lang w:bidi="ar-IQ"/>
        </w:rPr>
        <w:t xml:space="preserve"> </w:t>
      </w:r>
      <w:r w:rsidRPr="00E7646B">
        <w:rPr>
          <w:rFonts w:cs="Arial" w:hint="cs"/>
          <w:sz w:val="24"/>
          <w:szCs w:val="24"/>
          <w:rtl/>
          <w:lang w:bidi="ar-IQ"/>
        </w:rPr>
        <w:t>اطراف</w:t>
      </w:r>
      <w:r w:rsidRPr="00E7646B">
        <w:rPr>
          <w:rFonts w:cs="Arial"/>
          <w:sz w:val="24"/>
          <w:szCs w:val="24"/>
          <w:rtl/>
          <w:lang w:bidi="ar-IQ"/>
        </w:rPr>
        <w:t xml:space="preserve"> </w:t>
      </w:r>
      <w:r w:rsidRPr="00E7646B">
        <w:rPr>
          <w:rFonts w:cs="Arial" w:hint="cs"/>
          <w:sz w:val="24"/>
          <w:szCs w:val="24"/>
          <w:rtl/>
          <w:lang w:bidi="ar-IQ"/>
        </w:rPr>
        <w:t>الدعوى</w:t>
      </w:r>
      <w:r w:rsidRPr="00E7646B">
        <w:rPr>
          <w:rFonts w:cs="Arial"/>
          <w:sz w:val="24"/>
          <w:szCs w:val="24"/>
          <w:rtl/>
          <w:lang w:bidi="ar-IQ"/>
        </w:rPr>
        <w:t xml:space="preserve"> </w:t>
      </w:r>
      <w:r w:rsidRPr="00E7646B">
        <w:rPr>
          <w:rFonts w:cs="Arial" w:hint="cs"/>
          <w:sz w:val="24"/>
          <w:szCs w:val="24"/>
          <w:rtl/>
          <w:lang w:bidi="ar-IQ"/>
        </w:rPr>
        <w:t>ولم</w:t>
      </w:r>
      <w:r w:rsidRPr="00E7646B">
        <w:rPr>
          <w:rFonts w:cs="Arial"/>
          <w:sz w:val="24"/>
          <w:szCs w:val="24"/>
          <w:rtl/>
          <w:lang w:bidi="ar-IQ"/>
        </w:rPr>
        <w:t xml:space="preserve"> </w:t>
      </w:r>
      <w:r w:rsidRPr="00E7646B">
        <w:rPr>
          <w:rFonts w:cs="Arial" w:hint="cs"/>
          <w:sz w:val="24"/>
          <w:szCs w:val="24"/>
          <w:rtl/>
          <w:lang w:bidi="ar-IQ"/>
        </w:rPr>
        <w:t>تتغير</w:t>
      </w:r>
      <w:r w:rsidRPr="00E7646B">
        <w:rPr>
          <w:rFonts w:cs="Arial"/>
          <w:sz w:val="24"/>
          <w:szCs w:val="24"/>
          <w:rtl/>
          <w:lang w:bidi="ar-IQ"/>
        </w:rPr>
        <w:t xml:space="preserve"> </w:t>
      </w:r>
      <w:r w:rsidRPr="00E7646B">
        <w:rPr>
          <w:rFonts w:cs="Arial" w:hint="cs"/>
          <w:sz w:val="24"/>
          <w:szCs w:val="24"/>
          <w:rtl/>
          <w:lang w:bidi="ar-IQ"/>
        </w:rPr>
        <w:t>صفاتهم</w:t>
      </w:r>
      <w:r w:rsidRPr="00E7646B">
        <w:rPr>
          <w:rFonts w:cs="Arial"/>
          <w:sz w:val="24"/>
          <w:szCs w:val="24"/>
          <w:rtl/>
          <w:lang w:bidi="ar-IQ"/>
        </w:rPr>
        <w:t xml:space="preserve"> </w:t>
      </w:r>
      <w:r w:rsidRPr="00E7646B">
        <w:rPr>
          <w:rFonts w:cs="Arial" w:hint="cs"/>
          <w:sz w:val="24"/>
          <w:szCs w:val="24"/>
          <w:rtl/>
          <w:lang w:bidi="ar-IQ"/>
        </w:rPr>
        <w:t>وتعلق</w:t>
      </w:r>
      <w:r w:rsidRPr="00E7646B">
        <w:rPr>
          <w:rFonts w:cs="Arial"/>
          <w:sz w:val="24"/>
          <w:szCs w:val="24"/>
          <w:rtl/>
          <w:lang w:bidi="ar-IQ"/>
        </w:rPr>
        <w:t xml:space="preserve"> </w:t>
      </w:r>
      <w:r w:rsidRPr="00E7646B">
        <w:rPr>
          <w:rFonts w:cs="Arial" w:hint="cs"/>
          <w:sz w:val="24"/>
          <w:szCs w:val="24"/>
          <w:rtl/>
          <w:lang w:bidi="ar-IQ"/>
        </w:rPr>
        <w:t>النزاع</w:t>
      </w:r>
      <w:r w:rsidRPr="00E7646B">
        <w:rPr>
          <w:rFonts w:cs="Arial"/>
          <w:sz w:val="24"/>
          <w:szCs w:val="24"/>
          <w:rtl/>
          <w:lang w:bidi="ar-IQ"/>
        </w:rPr>
        <w:t xml:space="preserve"> </w:t>
      </w:r>
      <w:r w:rsidRPr="00E7646B">
        <w:rPr>
          <w:rFonts w:cs="Arial" w:hint="cs"/>
          <w:sz w:val="24"/>
          <w:szCs w:val="24"/>
          <w:rtl/>
          <w:lang w:bidi="ar-IQ"/>
        </w:rPr>
        <w:t>بذات</w:t>
      </w:r>
      <w:r w:rsidRPr="00E7646B">
        <w:rPr>
          <w:rFonts w:cs="Arial"/>
          <w:sz w:val="24"/>
          <w:szCs w:val="24"/>
          <w:rtl/>
          <w:lang w:bidi="ar-IQ"/>
        </w:rPr>
        <w:t xml:space="preserve"> </w:t>
      </w:r>
      <w:r w:rsidRPr="00E7646B">
        <w:rPr>
          <w:rFonts w:cs="Arial" w:hint="cs"/>
          <w:sz w:val="24"/>
          <w:szCs w:val="24"/>
          <w:rtl/>
          <w:lang w:bidi="ar-IQ"/>
        </w:rPr>
        <w:t>الحق</w:t>
      </w:r>
      <w:r w:rsidRPr="00E7646B">
        <w:rPr>
          <w:rFonts w:cs="Arial"/>
          <w:sz w:val="24"/>
          <w:szCs w:val="24"/>
          <w:rtl/>
          <w:lang w:bidi="ar-IQ"/>
        </w:rPr>
        <w:t xml:space="preserve"> </w:t>
      </w:r>
      <w:r w:rsidRPr="00E7646B">
        <w:rPr>
          <w:rFonts w:cs="Arial" w:hint="cs"/>
          <w:sz w:val="24"/>
          <w:szCs w:val="24"/>
          <w:rtl/>
          <w:lang w:bidi="ar-IQ"/>
        </w:rPr>
        <w:t>محلا</w:t>
      </w:r>
      <w:r w:rsidRPr="00E7646B">
        <w:rPr>
          <w:rFonts w:cs="Arial"/>
          <w:sz w:val="24"/>
          <w:szCs w:val="24"/>
          <w:rtl/>
          <w:lang w:bidi="ar-IQ"/>
        </w:rPr>
        <w:t xml:space="preserve"> </w:t>
      </w:r>
      <w:r w:rsidRPr="00E7646B">
        <w:rPr>
          <w:rFonts w:cs="Arial" w:hint="cs"/>
          <w:sz w:val="24"/>
          <w:szCs w:val="24"/>
          <w:rtl/>
          <w:lang w:bidi="ar-IQ"/>
        </w:rPr>
        <w:t>وسببا</w:t>
      </w:r>
      <w:r w:rsidRPr="00E7646B">
        <w:rPr>
          <w:rFonts w:cs="Arial"/>
          <w:sz w:val="24"/>
          <w:szCs w:val="24"/>
          <w:rtl/>
          <w:lang w:bidi="ar-IQ"/>
        </w:rPr>
        <w:t xml:space="preserve"> </w:t>
      </w:r>
      <w:r w:rsidRPr="00E7646B">
        <w:rPr>
          <w:rFonts w:cs="Arial" w:hint="cs"/>
          <w:sz w:val="24"/>
          <w:szCs w:val="24"/>
          <w:rtl/>
          <w:lang w:bidi="ar-IQ"/>
        </w:rPr>
        <w:t>"</w:t>
      </w:r>
      <w:r w:rsidRPr="00E7646B">
        <w:rPr>
          <w:rFonts w:cs="Arial"/>
          <w:sz w:val="24"/>
          <w:szCs w:val="24"/>
          <w:rtl/>
          <w:lang w:bidi="ar-IQ"/>
        </w:rPr>
        <w:t xml:space="preserve"> .</w:t>
      </w:r>
    </w:p>
  </w:footnote>
  <w:footnote w:id="24">
    <w:p w:rsidR="00184A5E" w:rsidRPr="00E7646B" w:rsidRDefault="00184A5E" w:rsidP="00184A5E">
      <w:pPr>
        <w:pStyle w:val="aa"/>
        <w:rPr>
          <w:sz w:val="24"/>
          <w:szCs w:val="24"/>
          <w:lang w:bidi="ar-IQ"/>
        </w:rPr>
      </w:pPr>
      <w:r w:rsidRPr="00E7646B">
        <w:rPr>
          <w:rFonts w:hint="cs"/>
          <w:sz w:val="24"/>
          <w:szCs w:val="24"/>
          <w:rtl/>
        </w:rPr>
        <w:t>(</w:t>
      </w:r>
      <w:r w:rsidRPr="00E7646B">
        <w:rPr>
          <w:rStyle w:val="ab"/>
          <w:sz w:val="24"/>
          <w:szCs w:val="24"/>
        </w:rPr>
        <w:footnoteRef/>
      </w:r>
      <w:r w:rsidRPr="00E7646B">
        <w:rPr>
          <w:rFonts w:hint="cs"/>
          <w:sz w:val="24"/>
          <w:szCs w:val="24"/>
          <w:rtl/>
        </w:rPr>
        <w:t>)</w:t>
      </w:r>
      <w:r w:rsidRPr="00E7646B">
        <w:rPr>
          <w:rFonts w:cs="Arial" w:hint="cs"/>
          <w:sz w:val="24"/>
          <w:szCs w:val="24"/>
          <w:rtl/>
          <w:lang w:bidi="ar-IQ"/>
        </w:rPr>
        <w:t xml:space="preserve"> د</w:t>
      </w:r>
      <w:r w:rsidRPr="00E7646B">
        <w:rPr>
          <w:rFonts w:cs="Arial"/>
          <w:sz w:val="24"/>
          <w:szCs w:val="24"/>
          <w:rtl/>
          <w:lang w:bidi="ar-IQ"/>
        </w:rPr>
        <w:t xml:space="preserve">. </w:t>
      </w:r>
      <w:r w:rsidRPr="00E7646B">
        <w:rPr>
          <w:rFonts w:cs="Arial" w:hint="cs"/>
          <w:sz w:val="24"/>
          <w:szCs w:val="24"/>
          <w:rtl/>
          <w:lang w:bidi="ar-IQ"/>
        </w:rPr>
        <w:t>عبد</w:t>
      </w:r>
      <w:r w:rsidRPr="00E7646B">
        <w:rPr>
          <w:rFonts w:cs="Arial"/>
          <w:sz w:val="24"/>
          <w:szCs w:val="24"/>
          <w:rtl/>
          <w:lang w:bidi="ar-IQ"/>
        </w:rPr>
        <w:t xml:space="preserve"> </w:t>
      </w:r>
      <w:r w:rsidRPr="00E7646B">
        <w:rPr>
          <w:rFonts w:cs="Arial" w:hint="cs"/>
          <w:sz w:val="24"/>
          <w:szCs w:val="24"/>
          <w:rtl/>
          <w:lang w:bidi="ar-IQ"/>
        </w:rPr>
        <w:t>الرسول</w:t>
      </w:r>
      <w:r w:rsidRPr="00E7646B">
        <w:rPr>
          <w:rFonts w:cs="Arial"/>
          <w:sz w:val="24"/>
          <w:szCs w:val="24"/>
          <w:rtl/>
          <w:lang w:bidi="ar-IQ"/>
        </w:rPr>
        <w:t xml:space="preserve"> </w:t>
      </w:r>
      <w:r w:rsidRPr="00E7646B">
        <w:rPr>
          <w:rFonts w:cs="Arial" w:hint="cs"/>
          <w:sz w:val="24"/>
          <w:szCs w:val="24"/>
          <w:rtl/>
          <w:lang w:bidi="ar-IQ"/>
        </w:rPr>
        <w:t>عبد</w:t>
      </w:r>
      <w:r w:rsidRPr="00E7646B">
        <w:rPr>
          <w:rFonts w:cs="Arial"/>
          <w:sz w:val="24"/>
          <w:szCs w:val="24"/>
          <w:rtl/>
          <w:lang w:bidi="ar-IQ"/>
        </w:rPr>
        <w:t xml:space="preserve"> </w:t>
      </w:r>
      <w:r w:rsidRPr="00E7646B">
        <w:rPr>
          <w:rFonts w:cs="Arial" w:hint="cs"/>
          <w:sz w:val="24"/>
          <w:szCs w:val="24"/>
          <w:rtl/>
          <w:lang w:bidi="ar-IQ"/>
        </w:rPr>
        <w:t>الرضا</w:t>
      </w:r>
      <w:r w:rsidRPr="00E7646B">
        <w:rPr>
          <w:rFonts w:cs="Arial"/>
          <w:sz w:val="24"/>
          <w:szCs w:val="24"/>
          <w:rtl/>
          <w:lang w:bidi="ar-IQ"/>
        </w:rPr>
        <w:t xml:space="preserve"> </w:t>
      </w:r>
      <w:r w:rsidRPr="00E7646B">
        <w:rPr>
          <w:rFonts w:cs="Arial" w:hint="cs"/>
          <w:sz w:val="24"/>
          <w:szCs w:val="24"/>
          <w:rtl/>
          <w:lang w:bidi="ar-IQ"/>
        </w:rPr>
        <w:t>،</w:t>
      </w:r>
      <w:r w:rsidRPr="00E7646B">
        <w:rPr>
          <w:rFonts w:cs="Arial"/>
          <w:sz w:val="24"/>
          <w:szCs w:val="24"/>
          <w:rtl/>
          <w:lang w:bidi="ar-IQ"/>
        </w:rPr>
        <w:t xml:space="preserve"> </w:t>
      </w:r>
      <w:r w:rsidRPr="00E7646B">
        <w:rPr>
          <w:rFonts w:cs="Arial" w:hint="cs"/>
          <w:sz w:val="24"/>
          <w:szCs w:val="24"/>
          <w:rtl/>
          <w:lang w:bidi="ar-IQ"/>
        </w:rPr>
        <w:t>مصدر</w:t>
      </w:r>
      <w:r w:rsidRPr="00E7646B">
        <w:rPr>
          <w:rFonts w:cs="Arial"/>
          <w:sz w:val="24"/>
          <w:szCs w:val="24"/>
          <w:rtl/>
          <w:lang w:bidi="ar-IQ"/>
        </w:rPr>
        <w:t xml:space="preserve"> </w:t>
      </w:r>
      <w:r w:rsidRPr="00E7646B">
        <w:rPr>
          <w:rFonts w:cs="Arial" w:hint="cs"/>
          <w:sz w:val="24"/>
          <w:szCs w:val="24"/>
          <w:rtl/>
          <w:lang w:bidi="ar-IQ"/>
        </w:rPr>
        <w:t>سابق</w:t>
      </w:r>
      <w:r w:rsidRPr="00E7646B">
        <w:rPr>
          <w:rFonts w:cs="Arial"/>
          <w:sz w:val="24"/>
          <w:szCs w:val="24"/>
          <w:rtl/>
          <w:lang w:bidi="ar-IQ"/>
        </w:rPr>
        <w:t xml:space="preserve"> </w:t>
      </w:r>
      <w:r w:rsidRPr="00E7646B">
        <w:rPr>
          <w:rFonts w:cs="Arial" w:hint="cs"/>
          <w:sz w:val="24"/>
          <w:szCs w:val="24"/>
          <w:rtl/>
          <w:lang w:bidi="ar-IQ"/>
        </w:rPr>
        <w:t>،</w:t>
      </w:r>
      <w:r w:rsidRPr="00E7646B">
        <w:rPr>
          <w:rFonts w:cs="Arial"/>
          <w:sz w:val="24"/>
          <w:szCs w:val="24"/>
          <w:rtl/>
          <w:lang w:bidi="ar-IQ"/>
        </w:rPr>
        <w:t xml:space="preserve"> </w:t>
      </w:r>
      <w:r w:rsidRPr="00E7646B">
        <w:rPr>
          <w:rFonts w:cs="Arial" w:hint="cs"/>
          <w:sz w:val="24"/>
          <w:szCs w:val="24"/>
          <w:rtl/>
          <w:lang w:bidi="ar-IQ"/>
        </w:rPr>
        <w:t>ص</w:t>
      </w:r>
      <w:r w:rsidRPr="00E7646B">
        <w:rPr>
          <w:rFonts w:cs="Arial"/>
          <w:sz w:val="24"/>
          <w:szCs w:val="24"/>
          <w:rtl/>
          <w:lang w:bidi="ar-IQ"/>
        </w:rPr>
        <w:t xml:space="preserve"> 158 .</w:t>
      </w:r>
    </w:p>
  </w:footnote>
  <w:footnote w:id="25">
    <w:p w:rsidR="00184A5E" w:rsidRPr="00E7646B" w:rsidRDefault="00184A5E" w:rsidP="00184A5E">
      <w:pPr>
        <w:pStyle w:val="aa"/>
        <w:rPr>
          <w:sz w:val="24"/>
          <w:szCs w:val="24"/>
          <w:lang w:bidi="ar-IQ"/>
        </w:rPr>
      </w:pPr>
      <w:r w:rsidRPr="00E7646B">
        <w:rPr>
          <w:rFonts w:hint="cs"/>
          <w:sz w:val="24"/>
          <w:szCs w:val="24"/>
          <w:rtl/>
        </w:rPr>
        <w:t>(</w:t>
      </w:r>
      <w:r w:rsidRPr="00E7646B">
        <w:rPr>
          <w:rStyle w:val="ab"/>
          <w:sz w:val="24"/>
          <w:szCs w:val="24"/>
        </w:rPr>
        <w:footnoteRef/>
      </w:r>
      <w:r w:rsidRPr="00E7646B">
        <w:rPr>
          <w:rFonts w:hint="cs"/>
          <w:sz w:val="24"/>
          <w:szCs w:val="24"/>
          <w:rtl/>
        </w:rPr>
        <w:t xml:space="preserve">) المصدر نفسه ، </w:t>
      </w:r>
      <w:r w:rsidRPr="00E7646B">
        <w:rPr>
          <w:rFonts w:hint="cs"/>
          <w:sz w:val="24"/>
          <w:szCs w:val="24"/>
          <w:rtl/>
          <w:lang w:bidi="ar-IQ"/>
        </w:rPr>
        <w:t>ص 15</w:t>
      </w:r>
      <w:r>
        <w:rPr>
          <w:rFonts w:hint="cs"/>
          <w:sz w:val="24"/>
          <w:szCs w:val="24"/>
          <w:rtl/>
          <w:lang w:bidi="ar-IQ"/>
        </w:rPr>
        <w:t>9</w:t>
      </w:r>
      <w:r w:rsidRPr="00E7646B">
        <w:rPr>
          <w:rFonts w:hint="cs"/>
          <w:sz w:val="24"/>
          <w:szCs w:val="24"/>
          <w:rtl/>
          <w:lang w:bidi="ar-IQ"/>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079"/>
    <w:multiLevelType w:val="hybridMultilevel"/>
    <w:tmpl w:val="E346ACA8"/>
    <w:lvl w:ilvl="0" w:tplc="8484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39BC"/>
    <w:multiLevelType w:val="hybridMultilevel"/>
    <w:tmpl w:val="25B6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E5A05"/>
    <w:multiLevelType w:val="hybridMultilevel"/>
    <w:tmpl w:val="40069A62"/>
    <w:lvl w:ilvl="0" w:tplc="37AE7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22726"/>
    <w:multiLevelType w:val="hybridMultilevel"/>
    <w:tmpl w:val="0B6EFE0A"/>
    <w:lvl w:ilvl="0" w:tplc="12C0AB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F0070"/>
    <w:multiLevelType w:val="hybridMultilevel"/>
    <w:tmpl w:val="A60A3B62"/>
    <w:lvl w:ilvl="0" w:tplc="9B44F02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0088"/>
    <w:multiLevelType w:val="hybridMultilevel"/>
    <w:tmpl w:val="55B6C308"/>
    <w:lvl w:ilvl="0" w:tplc="ACF00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A071E"/>
    <w:multiLevelType w:val="hybridMultilevel"/>
    <w:tmpl w:val="0FC41A44"/>
    <w:lvl w:ilvl="0" w:tplc="E466B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15C97"/>
    <w:multiLevelType w:val="hybridMultilevel"/>
    <w:tmpl w:val="B88EC61E"/>
    <w:lvl w:ilvl="0" w:tplc="2BA836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005258"/>
    <w:multiLevelType w:val="hybridMultilevel"/>
    <w:tmpl w:val="C7D03528"/>
    <w:lvl w:ilvl="0" w:tplc="76E4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D02BC"/>
    <w:multiLevelType w:val="hybridMultilevel"/>
    <w:tmpl w:val="03A8820A"/>
    <w:lvl w:ilvl="0" w:tplc="2F0AE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47A3E"/>
    <w:multiLevelType w:val="hybridMultilevel"/>
    <w:tmpl w:val="6F0214C4"/>
    <w:lvl w:ilvl="0" w:tplc="1960E9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E4B32"/>
    <w:multiLevelType w:val="hybridMultilevel"/>
    <w:tmpl w:val="2D36E942"/>
    <w:lvl w:ilvl="0" w:tplc="9A16E7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77620"/>
    <w:multiLevelType w:val="hybridMultilevel"/>
    <w:tmpl w:val="50680602"/>
    <w:lvl w:ilvl="0" w:tplc="AACE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52CE7"/>
    <w:multiLevelType w:val="hybridMultilevel"/>
    <w:tmpl w:val="496AF744"/>
    <w:lvl w:ilvl="0" w:tplc="2F2C0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548A8"/>
    <w:multiLevelType w:val="hybridMultilevel"/>
    <w:tmpl w:val="3FA4C1D6"/>
    <w:lvl w:ilvl="0" w:tplc="D054A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85B41"/>
    <w:multiLevelType w:val="hybridMultilevel"/>
    <w:tmpl w:val="67E41382"/>
    <w:lvl w:ilvl="0" w:tplc="164A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01946"/>
    <w:multiLevelType w:val="hybridMultilevel"/>
    <w:tmpl w:val="BEAA00FC"/>
    <w:lvl w:ilvl="0" w:tplc="35E4E2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C5830"/>
    <w:multiLevelType w:val="hybridMultilevel"/>
    <w:tmpl w:val="78A83C1C"/>
    <w:lvl w:ilvl="0" w:tplc="42FADA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F5958"/>
    <w:multiLevelType w:val="hybridMultilevel"/>
    <w:tmpl w:val="2506AEC2"/>
    <w:lvl w:ilvl="0" w:tplc="EFD20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B286464"/>
    <w:multiLevelType w:val="hybridMultilevel"/>
    <w:tmpl w:val="315E492A"/>
    <w:lvl w:ilvl="0" w:tplc="D910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91EA1"/>
    <w:multiLevelType w:val="hybridMultilevel"/>
    <w:tmpl w:val="BF884C88"/>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816B9"/>
    <w:multiLevelType w:val="hybridMultilevel"/>
    <w:tmpl w:val="18D0509E"/>
    <w:lvl w:ilvl="0" w:tplc="B868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526F5"/>
    <w:multiLevelType w:val="hybridMultilevel"/>
    <w:tmpl w:val="07DA70D4"/>
    <w:lvl w:ilvl="0" w:tplc="2378038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75760"/>
    <w:multiLevelType w:val="hybridMultilevel"/>
    <w:tmpl w:val="6D328346"/>
    <w:lvl w:ilvl="0" w:tplc="AC0CD0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279B"/>
    <w:multiLevelType w:val="hybridMultilevel"/>
    <w:tmpl w:val="C04A7A1A"/>
    <w:lvl w:ilvl="0" w:tplc="E6D6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57272"/>
    <w:multiLevelType w:val="hybridMultilevel"/>
    <w:tmpl w:val="2C88C586"/>
    <w:lvl w:ilvl="0" w:tplc="CC4E7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B2C09"/>
    <w:multiLevelType w:val="hybridMultilevel"/>
    <w:tmpl w:val="88FE0372"/>
    <w:lvl w:ilvl="0" w:tplc="48685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E52CF"/>
    <w:multiLevelType w:val="hybridMultilevel"/>
    <w:tmpl w:val="65946848"/>
    <w:lvl w:ilvl="0" w:tplc="95E60D8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nsid w:val="6D942609"/>
    <w:multiLevelType w:val="hybridMultilevel"/>
    <w:tmpl w:val="C49888F2"/>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F6760"/>
    <w:multiLevelType w:val="hybridMultilevel"/>
    <w:tmpl w:val="5D92146E"/>
    <w:lvl w:ilvl="0" w:tplc="4CB2C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24"/>
  </w:num>
  <w:num w:numId="5">
    <w:abstractNumId w:val="8"/>
  </w:num>
  <w:num w:numId="6">
    <w:abstractNumId w:val="12"/>
  </w:num>
  <w:num w:numId="7">
    <w:abstractNumId w:val="15"/>
  </w:num>
  <w:num w:numId="8">
    <w:abstractNumId w:val="19"/>
  </w:num>
  <w:num w:numId="9">
    <w:abstractNumId w:val="23"/>
  </w:num>
  <w:num w:numId="10">
    <w:abstractNumId w:val="3"/>
  </w:num>
  <w:num w:numId="11">
    <w:abstractNumId w:val="10"/>
  </w:num>
  <w:num w:numId="12">
    <w:abstractNumId w:val="27"/>
  </w:num>
  <w:num w:numId="13">
    <w:abstractNumId w:val="29"/>
  </w:num>
  <w:num w:numId="14">
    <w:abstractNumId w:val="25"/>
  </w:num>
  <w:num w:numId="15">
    <w:abstractNumId w:val="2"/>
  </w:num>
  <w:num w:numId="16">
    <w:abstractNumId w:val="21"/>
  </w:num>
  <w:num w:numId="17">
    <w:abstractNumId w:val="14"/>
  </w:num>
  <w:num w:numId="18">
    <w:abstractNumId w:val="18"/>
  </w:num>
  <w:num w:numId="19">
    <w:abstractNumId w:val="26"/>
  </w:num>
  <w:num w:numId="20">
    <w:abstractNumId w:val="13"/>
  </w:num>
  <w:num w:numId="21">
    <w:abstractNumId w:val="16"/>
  </w:num>
  <w:num w:numId="22">
    <w:abstractNumId w:val="17"/>
  </w:num>
  <w:num w:numId="23">
    <w:abstractNumId w:val="7"/>
  </w:num>
  <w:num w:numId="24">
    <w:abstractNumId w:val="22"/>
  </w:num>
  <w:num w:numId="25">
    <w:abstractNumId w:val="20"/>
  </w:num>
  <w:num w:numId="26">
    <w:abstractNumId w:val="28"/>
  </w:num>
  <w:num w:numId="27">
    <w:abstractNumId w:val="1"/>
  </w:num>
  <w:num w:numId="28">
    <w:abstractNumId w:val="4"/>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DA"/>
    <w:rsid w:val="000D6729"/>
    <w:rsid w:val="00184A5E"/>
    <w:rsid w:val="001857FC"/>
    <w:rsid w:val="001973E6"/>
    <w:rsid w:val="002630AE"/>
    <w:rsid w:val="0026375C"/>
    <w:rsid w:val="0032645D"/>
    <w:rsid w:val="004439E5"/>
    <w:rsid w:val="00472062"/>
    <w:rsid w:val="00486139"/>
    <w:rsid w:val="004E3168"/>
    <w:rsid w:val="005D67F1"/>
    <w:rsid w:val="006A666F"/>
    <w:rsid w:val="006C5BCC"/>
    <w:rsid w:val="006E5D26"/>
    <w:rsid w:val="006F55F3"/>
    <w:rsid w:val="0080010C"/>
    <w:rsid w:val="00823A40"/>
    <w:rsid w:val="009662BE"/>
    <w:rsid w:val="009B0140"/>
    <w:rsid w:val="009D3F14"/>
    <w:rsid w:val="00A2137C"/>
    <w:rsid w:val="00A37ADA"/>
    <w:rsid w:val="00AB5762"/>
    <w:rsid w:val="00B41536"/>
    <w:rsid w:val="00C36F9D"/>
    <w:rsid w:val="00C72AEE"/>
    <w:rsid w:val="00CB5A30"/>
    <w:rsid w:val="00D451F7"/>
    <w:rsid w:val="00D5611C"/>
    <w:rsid w:val="00DB0C75"/>
    <w:rsid w:val="00DB3E2D"/>
    <w:rsid w:val="00E13FE3"/>
    <w:rsid w:val="00E17638"/>
    <w:rsid w:val="00E4212A"/>
    <w:rsid w:val="00E5168E"/>
    <w:rsid w:val="00F3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2470</Words>
  <Characters>14085</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26</cp:revision>
  <dcterms:created xsi:type="dcterms:W3CDTF">2022-12-25T15:57:00Z</dcterms:created>
  <dcterms:modified xsi:type="dcterms:W3CDTF">2022-12-25T17:11:00Z</dcterms:modified>
</cp:coreProperties>
</file>