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12E" w:rsidRPr="007A4A67" w:rsidRDefault="0021312E" w:rsidP="0021312E">
      <w:pPr>
        <w:pStyle w:val="BodyBody"/>
        <w:spacing w:line="276" w:lineRule="auto"/>
        <w:jc w:val="center"/>
        <w:rPr>
          <w:rFonts w:asciiTheme="minorBidi" w:hAnsiTheme="minorBidi" w:cstheme="minorBidi"/>
          <w:b/>
          <w:bCs/>
          <w:sz w:val="28"/>
          <w:szCs w:val="28"/>
          <w:rtl/>
        </w:rPr>
      </w:pPr>
      <w:r w:rsidRPr="007A4A67">
        <w:rPr>
          <w:rFonts w:asciiTheme="minorBidi" w:hAnsiTheme="minorBidi" w:cstheme="minorBidi"/>
          <w:b/>
          <w:bCs/>
          <w:sz w:val="28"/>
          <w:szCs w:val="28"/>
          <w:rtl/>
        </w:rPr>
        <w:t>المحاضرة الثانية عشرة</w:t>
      </w:r>
    </w:p>
    <w:p w:rsidR="0021312E" w:rsidRPr="007A4A67" w:rsidRDefault="0021312E" w:rsidP="0021312E">
      <w:pPr>
        <w:pStyle w:val="BranchTitleTitle"/>
        <w:spacing w:line="276" w:lineRule="auto"/>
        <w:ind w:left="0"/>
        <w:jc w:val="left"/>
        <w:rPr>
          <w:rFonts w:asciiTheme="minorBidi" w:hAnsiTheme="minorBidi" w:cstheme="minorBidi"/>
          <w:b/>
          <w:bCs/>
          <w:rtl/>
        </w:rPr>
      </w:pPr>
      <w:r w:rsidRPr="007A4A67">
        <w:rPr>
          <w:rFonts w:asciiTheme="minorBidi" w:hAnsiTheme="minorBidi" w:cstheme="minorBidi"/>
          <w:b/>
          <w:bCs/>
          <w:rtl/>
        </w:rPr>
        <w:t>تنازع الموطن</w:t>
      </w:r>
    </w:p>
    <w:p w:rsidR="0021312E" w:rsidRPr="007A4A67" w:rsidRDefault="0021312E" w:rsidP="0021312E">
      <w:pPr>
        <w:pStyle w:val="BodyBody"/>
        <w:spacing w:line="276" w:lineRule="auto"/>
        <w:rPr>
          <w:rFonts w:asciiTheme="minorBidi" w:hAnsiTheme="minorBidi" w:cstheme="minorBidi"/>
          <w:rtl/>
        </w:rPr>
      </w:pPr>
      <w:r w:rsidRPr="007A4A67">
        <w:rPr>
          <w:rFonts w:asciiTheme="minorBidi" w:hAnsiTheme="minorBidi" w:cstheme="minorBidi"/>
          <w:rtl/>
        </w:rPr>
        <w:t>ويحصل التنازع في حالة تعد الموطن او انعدامه، وحل التنازع يختلف بين الوضعين فهناك حلول في حالة تعدد الموطن وحلول في ظل انعدامه واشكالية التنازع في الوضعين وحلولها تصادف القوانين التي أخذت بالتصوير الواقعي في الغالب كما لاحظنا، في حين لا توجد هناك فرص لظهورها في الغالب في ظل القوانين التي أخذت بالتصوير الحكمي للموطن لان التصوير الأخير يفترض ان لكل شخص موطن، وبالتالي لا يمكن ان يتعدد الموطن أو ينعدم، وعليه سنتابع حلول اشكالية التعدد والانعدام على النحو الاتي.</w:t>
      </w:r>
    </w:p>
    <w:p w:rsidR="0021312E" w:rsidRPr="007A4A67" w:rsidRDefault="0021312E" w:rsidP="0021312E">
      <w:pPr>
        <w:pStyle w:val="WordListingListing"/>
        <w:spacing w:line="276" w:lineRule="auto"/>
        <w:rPr>
          <w:rFonts w:asciiTheme="minorBidi" w:hAnsiTheme="minorBidi" w:cstheme="minorBidi"/>
          <w:rtl/>
        </w:rPr>
      </w:pPr>
      <w:r w:rsidRPr="007A4A67">
        <w:rPr>
          <w:rStyle w:val="BoldBody"/>
          <w:rFonts w:asciiTheme="minorBidi" w:hAnsiTheme="minorBidi" w:cstheme="minorBidi"/>
          <w:rtl/>
        </w:rPr>
        <w:t>أولاً: تعدد الموطن</w:t>
      </w:r>
    </w:p>
    <w:p w:rsidR="0021312E" w:rsidRPr="007A4A67" w:rsidRDefault="0021312E" w:rsidP="0021312E">
      <w:pPr>
        <w:pStyle w:val="BodyBody"/>
        <w:spacing w:line="276" w:lineRule="auto"/>
        <w:rPr>
          <w:rFonts w:asciiTheme="minorBidi" w:hAnsiTheme="minorBidi" w:cstheme="minorBidi"/>
          <w:rtl/>
        </w:rPr>
      </w:pPr>
      <w:r w:rsidRPr="007A4A67">
        <w:rPr>
          <w:rFonts w:asciiTheme="minorBidi" w:hAnsiTheme="minorBidi" w:cstheme="minorBidi"/>
          <w:rtl/>
        </w:rPr>
        <w:t>ويفضي هذا التعدد إلى ظاهرة يصطلح عليها (التنازع الايجابي في الموطن) وتحديد الموطن يختلف في ظل عرض النزاع المتعلق بالشخص متعدد الموطن أمام القضاء الوطني عنه في ظل عرض النزاع المتعلق به أمام قضاء لا علاقة له بالنزاع ففي الوضع الأول تحديد الموطن يكون بحسب قانون قاضي النزاع فإذا اتخذ الشخص في دولة القاضي موطنا فالعبرة به وهو حل يقترب من حل التنازع الايجابي في الجنسية إذا كانت إحدى الجنسيات جنسية قاضي النزاع، اما الحل في الوضع الثاني فيكون باعتماد الموطن القانوني إذا تنازع مع موطن اختياري واعتماد الموطن الذي يقيم فيه الشخص فعلا إذا حصل تنازع ما بين موطنين قانونيين أو اختياريين.</w:t>
      </w:r>
    </w:p>
    <w:p w:rsidR="0021312E" w:rsidRPr="007A4A67" w:rsidRDefault="0021312E" w:rsidP="0021312E">
      <w:pPr>
        <w:pStyle w:val="BodyBody"/>
        <w:spacing w:line="276" w:lineRule="auto"/>
        <w:rPr>
          <w:rFonts w:asciiTheme="minorBidi" w:hAnsiTheme="minorBidi" w:cstheme="minorBidi"/>
          <w:rtl/>
        </w:rPr>
      </w:pPr>
      <w:r w:rsidRPr="007A4A67">
        <w:rPr>
          <w:rFonts w:asciiTheme="minorBidi" w:hAnsiTheme="minorBidi" w:cstheme="minorBidi"/>
          <w:rtl/>
        </w:rPr>
        <w:t>وقد اوردت آليات تحديد الموطن بعض الاتفاقيات الدولية منها الاتفاقية ما بين فرنسا وبلجيكا لعام 1931 والاتفاقية ما بين فرنسا وايطاليا لعام 1930</w:t>
      </w:r>
      <w:r w:rsidRPr="007A4A67">
        <w:rPr>
          <w:rStyle w:val="NonbreakingspacetrakingFoontnotes"/>
          <w:rFonts w:asciiTheme="minorBidi" w:hAnsiTheme="minorBidi" w:cstheme="minorBidi"/>
          <w:spacing w:val="-75"/>
          <w:rtl/>
        </w:rPr>
        <w:t> </w:t>
      </w:r>
      <w:r w:rsidRPr="007A4A67">
        <w:rPr>
          <w:rStyle w:val="FootnotesReferenceFoontnotes"/>
          <w:rFonts w:asciiTheme="minorBidi" w:hAnsiTheme="minorBidi" w:cstheme="minorBidi"/>
          <w:rtl/>
        </w:rPr>
        <w:t xml:space="preserve"> (</w:t>
      </w:r>
      <w:r w:rsidRPr="007A4A67">
        <w:rPr>
          <w:rStyle w:val="ab"/>
          <w:rFonts w:asciiTheme="minorBidi" w:hAnsiTheme="minorBidi" w:cstheme="minorBidi"/>
          <w:rtl/>
        </w:rPr>
        <w:footnoteReference w:id="1"/>
      </w:r>
      <w:r w:rsidRPr="007A4A67">
        <w:rPr>
          <w:rStyle w:val="FootnotesReferenceFoontnotes"/>
          <w:rFonts w:asciiTheme="minorBidi" w:hAnsiTheme="minorBidi" w:cstheme="minorBidi"/>
          <w:rtl/>
        </w:rPr>
        <w:t xml:space="preserve">) </w:t>
      </w:r>
      <w:r w:rsidRPr="007A4A67">
        <w:rPr>
          <w:rFonts w:asciiTheme="minorBidi" w:hAnsiTheme="minorBidi" w:cstheme="minorBidi"/>
          <w:rtl/>
        </w:rPr>
        <w:t>.</w:t>
      </w:r>
    </w:p>
    <w:p w:rsidR="0021312E" w:rsidRPr="007A4A67" w:rsidRDefault="0021312E" w:rsidP="0021312E">
      <w:pPr>
        <w:pStyle w:val="WordListingListing"/>
        <w:spacing w:line="276" w:lineRule="auto"/>
        <w:rPr>
          <w:rFonts w:asciiTheme="minorBidi" w:hAnsiTheme="minorBidi" w:cstheme="minorBidi"/>
          <w:rtl/>
        </w:rPr>
      </w:pPr>
      <w:r w:rsidRPr="007A4A67">
        <w:rPr>
          <w:rStyle w:val="BoldBody"/>
          <w:rFonts w:asciiTheme="minorBidi" w:hAnsiTheme="minorBidi" w:cstheme="minorBidi"/>
          <w:rtl/>
        </w:rPr>
        <w:t>ثانياً: انعدام الموطن</w:t>
      </w:r>
    </w:p>
    <w:p w:rsidR="0021312E" w:rsidRPr="007A4A67" w:rsidRDefault="0021312E" w:rsidP="0021312E">
      <w:pPr>
        <w:pStyle w:val="BodyBody"/>
        <w:spacing w:line="276" w:lineRule="auto"/>
        <w:rPr>
          <w:rFonts w:asciiTheme="minorBidi" w:hAnsiTheme="minorBidi" w:cstheme="minorBidi"/>
          <w:rtl/>
        </w:rPr>
      </w:pPr>
      <w:r w:rsidRPr="007A4A67">
        <w:rPr>
          <w:rFonts w:asciiTheme="minorBidi" w:hAnsiTheme="minorBidi" w:cstheme="minorBidi"/>
          <w:rtl/>
        </w:rPr>
        <w:t>إن انعدام الموطن يفضي إلى ظاهرة يصطلح عليها (التنازع السلبي في الموطن) مما يطرح ذلك البحث عن البديل الذي يحل محل الموطن والبديل الامثل هو محل الإقامة وقد أشارت إلى هذا المعنى العديد من التشريعات ومنها القانون المدني الالماني والمصري والاردني. وأشار المشرع العراقي ضمنا إلى هذا المعنى في المادة (33/1) من القانون المدني عندما اراد المشرع بهذا النص معالجة التنازع الايجابي في الجنسيات كما ذكر سابقاً فأورد حكم ترك فيه للقضاء فرصة الاجتهاد وللبحث عن الحلول الافضل والتي يمكن ان تشكل مبادئ للقانون الدولي الخاص الأكثر شيوعا وهذه الفرصة للاجتهاد تدعمها المادة (30) من القانون المدني العراقي وتذهب التشريعات العربية بهذا الاتجاه.</w:t>
      </w:r>
    </w:p>
    <w:p w:rsidR="0021312E" w:rsidRPr="007A4A67" w:rsidRDefault="0021312E" w:rsidP="0021312E">
      <w:pPr>
        <w:pStyle w:val="BranchTitle"/>
        <w:spacing w:line="276" w:lineRule="auto"/>
        <w:rPr>
          <w:rFonts w:asciiTheme="minorBidi" w:hAnsiTheme="minorBidi" w:cstheme="minorBidi"/>
          <w:b/>
          <w:bCs/>
          <w:sz w:val="28"/>
          <w:szCs w:val="28"/>
          <w:rtl/>
        </w:rPr>
      </w:pPr>
      <w:r w:rsidRPr="007A4A67">
        <w:rPr>
          <w:rFonts w:asciiTheme="minorBidi" w:hAnsiTheme="minorBidi" w:cstheme="minorBidi"/>
          <w:b/>
          <w:bCs/>
          <w:sz w:val="28"/>
          <w:szCs w:val="28"/>
          <w:rtl/>
        </w:rPr>
        <w:lastRenderedPageBreak/>
        <w:t>الفرع الثالث</w:t>
      </w:r>
    </w:p>
    <w:p w:rsidR="0021312E" w:rsidRPr="007A4A67" w:rsidRDefault="0021312E" w:rsidP="0021312E">
      <w:pPr>
        <w:pStyle w:val="BranchTitleTitle"/>
        <w:spacing w:line="276" w:lineRule="auto"/>
        <w:rPr>
          <w:rFonts w:asciiTheme="minorBidi" w:hAnsiTheme="minorBidi" w:cstheme="minorBidi"/>
          <w:b/>
          <w:bCs/>
          <w:sz w:val="28"/>
          <w:szCs w:val="28"/>
          <w:rtl/>
        </w:rPr>
      </w:pPr>
      <w:r w:rsidRPr="007A4A67">
        <w:rPr>
          <w:rFonts w:asciiTheme="minorBidi" w:hAnsiTheme="minorBidi" w:cstheme="minorBidi"/>
          <w:b/>
          <w:bCs/>
          <w:sz w:val="28"/>
          <w:szCs w:val="28"/>
          <w:rtl/>
        </w:rPr>
        <w:t>القانون الذي يعين الموطن</w:t>
      </w:r>
    </w:p>
    <w:p w:rsidR="0021312E" w:rsidRPr="007A4A67" w:rsidRDefault="0021312E" w:rsidP="0021312E">
      <w:pPr>
        <w:pStyle w:val="BodyBody"/>
        <w:spacing w:line="276" w:lineRule="auto"/>
        <w:rPr>
          <w:rFonts w:asciiTheme="minorBidi" w:hAnsiTheme="minorBidi" w:cstheme="minorBidi"/>
          <w:rtl/>
        </w:rPr>
      </w:pPr>
      <w:r w:rsidRPr="007A4A67">
        <w:rPr>
          <w:rFonts w:asciiTheme="minorBidi" w:hAnsiTheme="minorBidi" w:cstheme="minorBidi"/>
          <w:rtl/>
        </w:rPr>
        <w:t>إن ضبط موطن الشخص يحقق المزايا والدور الذي تكلمنا عنه انفا وللوصول إلى هذا الوضع يتطلب معرفة القانون الذي به نصل إلى ضبط الموطن وقد طرح الفقه في هذا السياق جملة اتجاهات هي:</w:t>
      </w:r>
    </w:p>
    <w:p w:rsidR="0021312E" w:rsidRPr="007A4A67" w:rsidRDefault="0021312E" w:rsidP="0021312E">
      <w:pPr>
        <w:pStyle w:val="WordListingListing"/>
        <w:spacing w:line="276" w:lineRule="auto"/>
        <w:rPr>
          <w:rFonts w:asciiTheme="minorBidi" w:hAnsiTheme="minorBidi" w:cstheme="minorBidi"/>
          <w:rtl/>
        </w:rPr>
      </w:pPr>
      <w:r w:rsidRPr="007A4A67">
        <w:rPr>
          <w:rStyle w:val="BoldBody"/>
          <w:rFonts w:asciiTheme="minorBidi" w:hAnsiTheme="minorBidi" w:cstheme="minorBidi"/>
          <w:rtl/>
        </w:rPr>
        <w:t>أولاً: قانون الارادة</w:t>
      </w:r>
    </w:p>
    <w:p w:rsidR="0021312E" w:rsidRPr="007A4A67" w:rsidRDefault="0021312E" w:rsidP="0021312E">
      <w:pPr>
        <w:pStyle w:val="BodyBody"/>
        <w:spacing w:line="276" w:lineRule="auto"/>
        <w:rPr>
          <w:rFonts w:asciiTheme="minorBidi" w:hAnsiTheme="minorBidi" w:cstheme="minorBidi"/>
          <w:rtl/>
        </w:rPr>
      </w:pPr>
      <w:r w:rsidRPr="007A4A67">
        <w:rPr>
          <w:rFonts w:asciiTheme="minorBidi" w:hAnsiTheme="minorBidi" w:cstheme="minorBidi"/>
          <w:rtl/>
        </w:rPr>
        <w:t>وبحسب هذا الاتجاه فان القانون الذي يتعين به الموطن يكون من صنع ارادة الاطراف فيكون القانون المختار من قبلهم هو المختص بتحديد الموطن، وحتى يصح اختيارهم فلابد من وجود ارادة صحيحة أي غير مشوبة بعيوب الرضا ومنها الاكراه كما يقتضي ان تكون الارادة كاملة أي صادرة من شخص كامل الاهلية فلا يعتد باختيار عديم الاهلية أو ناقصها، ويستوي بعد ذلك ان يكون الاختيار صريح أو ضمني، وهذا يعني ان الاطراف إذا اختاروا قانوناً يأخذ بالتصوير الحكمي أو يأخذ بالتصوير الواقعي فان الموطن يكون بحسب ما يقرره القانون الذي اختارته ارادة الاطراف فيكون الموطن مكان مقر الأعمال إذا كان اختيار مكان يقر بهذا المفهوم والحال ينسحب إذا وقعت ارادة الاطراف على اختيار قانون يقر بمحل الإقامة، وينتقد هذا التوجه من نواح عدة اهمها ان الموطن مثل الجنسية مسالة تتعلق بسيادة الدولة ولا يمكن ان يترك أمر تحديدها لإرادة الأفراد فضلاً عن ذلك ان الارادة ينبغي ان تحكم بالقانون وليس ان تحكم الارادة القانون.</w:t>
      </w:r>
    </w:p>
    <w:p w:rsidR="0021312E" w:rsidRPr="007A4A67" w:rsidRDefault="0021312E" w:rsidP="0021312E">
      <w:pPr>
        <w:pStyle w:val="WordListingListing"/>
        <w:spacing w:line="276" w:lineRule="auto"/>
        <w:rPr>
          <w:rFonts w:asciiTheme="minorBidi" w:hAnsiTheme="minorBidi" w:cstheme="minorBidi"/>
          <w:rtl/>
        </w:rPr>
      </w:pPr>
      <w:r w:rsidRPr="007A4A67">
        <w:rPr>
          <w:rStyle w:val="BoldBody"/>
          <w:rFonts w:asciiTheme="minorBidi" w:hAnsiTheme="minorBidi" w:cstheme="minorBidi"/>
          <w:rtl/>
        </w:rPr>
        <w:t>ثانياً: القانون الشخصي</w:t>
      </w:r>
    </w:p>
    <w:p w:rsidR="0021312E" w:rsidRPr="007A4A67" w:rsidRDefault="0021312E" w:rsidP="0021312E">
      <w:pPr>
        <w:pStyle w:val="BodyBody"/>
        <w:spacing w:line="276" w:lineRule="auto"/>
        <w:rPr>
          <w:rFonts w:asciiTheme="minorBidi" w:hAnsiTheme="minorBidi" w:cstheme="minorBidi"/>
          <w:rtl/>
        </w:rPr>
      </w:pPr>
      <w:r w:rsidRPr="007A4A67">
        <w:rPr>
          <w:rFonts w:asciiTheme="minorBidi" w:hAnsiTheme="minorBidi" w:cstheme="minorBidi"/>
          <w:rtl/>
        </w:rPr>
        <w:t>ويتحدد هذا القانون على وفق قانون الجنسية في الدول التي تعتمد ضابط الجنسية لتحديد القانون الشخصي وعلى وفق قانون الموطن في الدول التي تعتمد ضابط الموطن لتحديد القانون الشخصي ويؤخذ على هذا الاتجاه ان دول المجموعة الأولى لا تملك حل لتحديد القانون الذي يعين الموطن في ظل انعدام الجنسيات كما لا تملك دول المجموعة الثانية هذا الحل في ظل انعدام الموطن. وهذا يعني أيضا اننا سوف نكون أمام حلقة مفرغة في ظل دول المجموعتين؛ لان تحديد قانون الموطن يتطلب تحديد الموطن إذ إنه يتطلب قانون يتحدد به فسوف لا يمكن تحديده وهي اشكالية تواجه الدول التي تعتمد ضابط الجنسية لان تحديد الموطن سيكون بموجب قانون الجنسية وانعدام الجنسية لا يتوافر حل لتحديد القانون</w:t>
      </w:r>
      <w:r w:rsidRPr="007A4A67">
        <w:rPr>
          <w:rStyle w:val="FootnotesReferenceFoontnotes"/>
          <w:rFonts w:asciiTheme="minorBidi" w:hAnsiTheme="minorBidi" w:cstheme="minorBidi"/>
          <w:rtl/>
        </w:rPr>
        <w:t xml:space="preserve"> (</w:t>
      </w:r>
      <w:r w:rsidRPr="007A4A67">
        <w:rPr>
          <w:rStyle w:val="ab"/>
          <w:rFonts w:asciiTheme="minorBidi" w:hAnsiTheme="minorBidi" w:cstheme="minorBidi"/>
          <w:rtl/>
        </w:rPr>
        <w:footnoteReference w:id="2"/>
      </w:r>
      <w:r w:rsidRPr="007A4A67">
        <w:rPr>
          <w:rStyle w:val="FootnotesReferenceFoontnotes"/>
          <w:rFonts w:asciiTheme="minorBidi" w:hAnsiTheme="minorBidi" w:cstheme="minorBidi"/>
          <w:rtl/>
        </w:rPr>
        <w:t xml:space="preserve">) </w:t>
      </w:r>
      <w:r w:rsidRPr="007A4A67">
        <w:rPr>
          <w:rFonts w:asciiTheme="minorBidi" w:hAnsiTheme="minorBidi" w:cstheme="minorBidi"/>
          <w:rtl/>
        </w:rPr>
        <w:t>.</w:t>
      </w:r>
    </w:p>
    <w:p w:rsidR="0021312E" w:rsidRPr="007A4A67" w:rsidRDefault="0021312E" w:rsidP="0021312E">
      <w:pPr>
        <w:pStyle w:val="WordListingListing"/>
        <w:spacing w:line="276" w:lineRule="auto"/>
        <w:rPr>
          <w:rFonts w:asciiTheme="minorBidi" w:hAnsiTheme="minorBidi" w:cstheme="minorBidi"/>
          <w:rtl/>
        </w:rPr>
      </w:pPr>
      <w:r w:rsidRPr="007A4A67">
        <w:rPr>
          <w:rStyle w:val="BoldBody"/>
          <w:rFonts w:asciiTheme="minorBidi" w:hAnsiTheme="minorBidi" w:cstheme="minorBidi"/>
          <w:rtl/>
        </w:rPr>
        <w:t>ثالثاً: القانون الإقليمي</w:t>
      </w:r>
    </w:p>
    <w:p w:rsidR="0021312E" w:rsidRPr="007A4A67" w:rsidRDefault="0021312E" w:rsidP="0021312E">
      <w:pPr>
        <w:pStyle w:val="BodyBody"/>
        <w:spacing w:line="276" w:lineRule="auto"/>
        <w:rPr>
          <w:rFonts w:asciiTheme="minorBidi" w:hAnsiTheme="minorBidi" w:cstheme="minorBidi"/>
          <w:rtl/>
        </w:rPr>
      </w:pPr>
      <w:r w:rsidRPr="007A4A67">
        <w:rPr>
          <w:rFonts w:asciiTheme="minorBidi" w:hAnsiTheme="minorBidi" w:cstheme="minorBidi"/>
          <w:rtl/>
        </w:rPr>
        <w:t xml:space="preserve">بحسب هذا الاتجاه يصار إلى اعتماد الدولة التي يقيم فيها الشخص أي يتخذ من إقليمها مقاما أو مقراً لأعماله ومن ثَمَّ اعتماد قانونها لتحديد وجود موطنه فالقانون الإقليمي هو أصلح قانون لضبط موطن الشخص بحسب هذا الاتجاه وقد اعتمد هذا التوجه من جانب القانون البريطاني إذ اتخذ من </w:t>
      </w:r>
      <w:r w:rsidRPr="007A4A67">
        <w:rPr>
          <w:rFonts w:asciiTheme="minorBidi" w:hAnsiTheme="minorBidi" w:cstheme="minorBidi"/>
          <w:rtl/>
        </w:rPr>
        <w:lastRenderedPageBreak/>
        <w:t xml:space="preserve">بريطانيا مقرا له </w:t>
      </w:r>
      <w:r w:rsidRPr="007A4A67">
        <w:rPr>
          <w:rStyle w:val="FootnotesReferenceFoontnotes"/>
          <w:rFonts w:asciiTheme="minorBidi" w:hAnsiTheme="minorBidi" w:cstheme="minorBidi"/>
          <w:rtl/>
        </w:rPr>
        <w:t>(</w:t>
      </w:r>
      <w:r w:rsidRPr="007A4A67">
        <w:rPr>
          <w:rStyle w:val="ab"/>
          <w:rFonts w:asciiTheme="minorBidi" w:hAnsiTheme="minorBidi" w:cstheme="minorBidi"/>
          <w:rtl/>
        </w:rPr>
        <w:footnoteReference w:id="3"/>
      </w:r>
      <w:r w:rsidRPr="007A4A67">
        <w:rPr>
          <w:rStyle w:val="FootnotesReferenceFoontnotes"/>
          <w:rFonts w:asciiTheme="minorBidi" w:hAnsiTheme="minorBidi" w:cstheme="minorBidi"/>
          <w:rtl/>
        </w:rPr>
        <w:t xml:space="preserve">) </w:t>
      </w:r>
      <w:r w:rsidRPr="007A4A67">
        <w:rPr>
          <w:rFonts w:asciiTheme="minorBidi" w:hAnsiTheme="minorBidi" w:cstheme="minorBidi"/>
          <w:rtl/>
        </w:rPr>
        <w:t>، ويؤخذ عليه انه يقدم حل لا يصلح في ظل عدم ادعاء الشخص توطينه في اي دولة من دول العالم كما ان هذا الاتجاه يترك بالنتيجة تحديد الموطن للإرادة أيضا ومن ثَمَّ ستعود الانتقادات نفسها في ظل اتجاه اصحاب الارادة.</w:t>
      </w:r>
    </w:p>
    <w:p w:rsidR="0021312E" w:rsidRPr="007A4A67" w:rsidRDefault="0021312E" w:rsidP="0021312E">
      <w:pPr>
        <w:pStyle w:val="WordListingListing"/>
        <w:spacing w:line="276" w:lineRule="auto"/>
        <w:rPr>
          <w:rFonts w:asciiTheme="minorBidi" w:hAnsiTheme="minorBidi" w:cstheme="minorBidi"/>
          <w:rtl/>
        </w:rPr>
      </w:pPr>
      <w:r w:rsidRPr="007A4A67">
        <w:rPr>
          <w:rStyle w:val="BoldBody"/>
          <w:rFonts w:asciiTheme="minorBidi" w:hAnsiTheme="minorBidi" w:cstheme="minorBidi"/>
          <w:rtl/>
        </w:rPr>
        <w:t>رابعاً: قانون قاضي النزاع</w:t>
      </w:r>
    </w:p>
    <w:p w:rsidR="0021312E" w:rsidRPr="007A4A67" w:rsidRDefault="0021312E" w:rsidP="0021312E">
      <w:pPr>
        <w:pStyle w:val="BodyBody"/>
        <w:spacing w:line="276" w:lineRule="auto"/>
        <w:rPr>
          <w:rFonts w:asciiTheme="minorBidi" w:hAnsiTheme="minorBidi" w:cstheme="minorBidi"/>
          <w:rtl/>
        </w:rPr>
      </w:pPr>
      <w:r w:rsidRPr="007A4A67">
        <w:rPr>
          <w:rFonts w:asciiTheme="minorBidi" w:hAnsiTheme="minorBidi" w:cstheme="minorBidi"/>
          <w:rtl/>
        </w:rPr>
        <w:t xml:space="preserve">بحسب هذا الاتجاه ان تحديد الموطن يكون من اختصاص قاضي النزاع بوصف الموطن علاقة قانونية وان تكييفها مسالة تتعلق بالسيادة فهو الذي يحدد معنى الموطن فإذا كان يأخذ بالتصوير الواقعي فيعتد بالموطن في المكان الذي يقيم فيه الشخص وإذا كان يأخذ بالتصوير الحكمي فيعتد بالموطن في المكان الذي يوجد فيه المقر الرئيس لأعمال الشخص ، وقد اعتمد هذا التوجه القانون الأمريكي </w:t>
      </w:r>
      <w:r w:rsidRPr="007A4A67">
        <w:rPr>
          <w:rStyle w:val="FootnotesReferenceFoontnotes"/>
          <w:rFonts w:asciiTheme="minorBidi" w:hAnsiTheme="minorBidi" w:cstheme="minorBidi"/>
          <w:rtl/>
        </w:rPr>
        <w:t>(</w:t>
      </w:r>
      <w:r w:rsidRPr="007A4A67">
        <w:rPr>
          <w:rStyle w:val="ab"/>
          <w:rFonts w:asciiTheme="minorBidi" w:hAnsiTheme="minorBidi" w:cstheme="minorBidi"/>
          <w:rtl/>
        </w:rPr>
        <w:footnoteReference w:id="4"/>
      </w:r>
      <w:r w:rsidRPr="007A4A67">
        <w:rPr>
          <w:rStyle w:val="FootnotesReferenceFoontnotes"/>
          <w:rFonts w:asciiTheme="minorBidi" w:hAnsiTheme="minorBidi" w:cstheme="minorBidi"/>
          <w:rtl/>
        </w:rPr>
        <w:t xml:space="preserve">) </w:t>
      </w:r>
      <w:r w:rsidRPr="007A4A67">
        <w:rPr>
          <w:rFonts w:asciiTheme="minorBidi" w:hAnsiTheme="minorBidi" w:cstheme="minorBidi"/>
          <w:rtl/>
        </w:rPr>
        <w:t>، ويؤخذ على هذا الراي انه يفترض للشخص موطنا قد لا يعكس وضعه الواقعي فهو يستوطن فعلا في دولة بينما قانون قاضي النزاع يفترض موطنه في دولة أخرى وقد لا يفترض له ذلك، مما سيترتب على ذلك اما انعدام الموطن (التنازع السلبي في الموطن) واما تعدد الموطن (التنازع الايجابي في الموطن)، وهو حل يقود إلى إشكاليات اعقد من مشكلة تحديد القانون والمشكلة لا تزال بمثلها.</w:t>
      </w:r>
    </w:p>
    <w:p w:rsidR="0021312E" w:rsidRPr="007A4A67" w:rsidRDefault="0021312E" w:rsidP="0021312E">
      <w:pPr>
        <w:pStyle w:val="WordListingListing"/>
        <w:spacing w:line="276" w:lineRule="auto"/>
        <w:rPr>
          <w:rFonts w:asciiTheme="minorBidi" w:hAnsiTheme="minorBidi" w:cstheme="minorBidi"/>
          <w:rtl/>
        </w:rPr>
      </w:pPr>
      <w:r w:rsidRPr="007A4A67">
        <w:rPr>
          <w:rStyle w:val="BoldBody"/>
          <w:rFonts w:asciiTheme="minorBidi" w:hAnsiTheme="minorBidi" w:cstheme="minorBidi"/>
          <w:rtl/>
        </w:rPr>
        <w:t>خامساً: الاتجاه التوفيقي</w:t>
      </w:r>
    </w:p>
    <w:p w:rsidR="0021312E" w:rsidRPr="007A4A67" w:rsidRDefault="0021312E" w:rsidP="0021312E">
      <w:pPr>
        <w:pStyle w:val="BodyBody"/>
        <w:spacing w:line="276" w:lineRule="auto"/>
        <w:rPr>
          <w:rFonts w:asciiTheme="minorBidi" w:hAnsiTheme="minorBidi" w:cstheme="minorBidi"/>
          <w:rtl/>
        </w:rPr>
      </w:pPr>
      <w:r w:rsidRPr="007A4A67">
        <w:rPr>
          <w:rFonts w:asciiTheme="minorBidi" w:hAnsiTheme="minorBidi" w:cstheme="minorBidi"/>
          <w:rtl/>
        </w:rPr>
        <w:t>وهو يجمع ما بين الاتجاهين الثالث والرابع اي اعتماد القانون الإقليمي وقانون قاضي النزاع لتعيين الموطن فقاضي النزاع يعتمد قانونه في ظل توطن الشخص في دولة القاضي وإذا لم يوجد موطنا له فيه فيصار إلى اعتماد قانون الدولة التي يتوطن فيها الشخص فعلاً اي القانون الإقليمي أي أن هذا الاتجاه يطبق قانونيين على سبيل التدرج ففي ظل وجود موطن الشخص في دولة قاضي النزاع فيعتمد قانون الأخير، وفي ظل انعدامه يصار إلى اعتماد البديل عنه وهو القانون الإقليمي للدولة التي يتوطن فيها الشخص بحسب الظروف التي تكتسب من هذا التوطن.</w:t>
      </w:r>
    </w:p>
    <w:p w:rsidR="0021312E" w:rsidRPr="007A4A67" w:rsidRDefault="0021312E" w:rsidP="0021312E">
      <w:pPr>
        <w:pStyle w:val="BodyBody"/>
        <w:spacing w:line="276" w:lineRule="auto"/>
        <w:rPr>
          <w:rFonts w:asciiTheme="minorBidi" w:hAnsiTheme="minorBidi" w:cstheme="minorBidi"/>
          <w:rtl/>
        </w:rPr>
      </w:pPr>
      <w:r w:rsidRPr="007A4A67">
        <w:rPr>
          <w:rFonts w:asciiTheme="minorBidi" w:hAnsiTheme="minorBidi" w:cstheme="minorBidi"/>
          <w:rtl/>
        </w:rPr>
        <w:t>ويعد هذا الاتجاه افضل الاتجاهات المتقدمة لأنه يوفق ما بين منفعة الشخص باحترام ارادته وما بين منفعة الدولة باحترام ارادتها في تقرير مصير موطنه في ظل عدم توطنه في دولة قاضي النزاع.</w:t>
      </w:r>
    </w:p>
    <w:p w:rsidR="00E13FE3" w:rsidRPr="0021312E" w:rsidRDefault="00E13FE3" w:rsidP="0021312E">
      <w:pPr>
        <w:rPr>
          <w:lang w:bidi="ar-YE"/>
        </w:rPr>
      </w:pPr>
      <w:bookmarkStart w:id="0" w:name="_GoBack"/>
      <w:bookmarkEnd w:id="0"/>
    </w:p>
    <w:sectPr w:rsidR="00E13FE3" w:rsidRPr="002131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D1A" w:rsidRDefault="00985D1A" w:rsidP="001857FC">
      <w:pPr>
        <w:spacing w:after="0" w:line="240" w:lineRule="auto"/>
      </w:pPr>
      <w:r>
        <w:separator/>
      </w:r>
    </w:p>
  </w:endnote>
  <w:endnote w:type="continuationSeparator" w:id="0">
    <w:p w:rsidR="00985D1A" w:rsidRDefault="00985D1A" w:rsidP="00185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نسخ Medium">
    <w:panose1 w:val="00000000000000000000"/>
    <w:charset w:val="00"/>
    <w:family w:val="modern"/>
    <w:notTrueType/>
    <w:pitch w:val="variable"/>
    <w:sig w:usb0="00002003" w:usb1="00000000" w:usb2="00000000" w:usb3="00000000" w:csb0="00000041" w:csb1="00000000"/>
  </w:font>
  <w:font w:name="Al-QuranAlKareem">
    <w:altName w:val="Times New Roman"/>
    <w:charset w:val="00"/>
    <w:family w:val="auto"/>
    <w:pitch w:val="variable"/>
    <w:sig w:usb0="00000000" w:usb1="80000000" w:usb2="00000008" w:usb3="00000000" w:csb0="00000043" w:csb1="00000000"/>
  </w:font>
  <w:font w:name="AlRaiMedia-Black">
    <w:panose1 w:val="00000000000000000000"/>
    <w:charset w:val="00"/>
    <w:family w:val="swiss"/>
    <w:notTrueType/>
    <w:pitch w:val="variable"/>
    <w:sig w:usb0="800020EF" w:usb1="D000E14A" w:usb2="0000002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D1A" w:rsidRDefault="00985D1A" w:rsidP="001857FC">
      <w:pPr>
        <w:spacing w:after="0" w:line="240" w:lineRule="auto"/>
      </w:pPr>
      <w:r>
        <w:separator/>
      </w:r>
    </w:p>
  </w:footnote>
  <w:footnote w:type="continuationSeparator" w:id="0">
    <w:p w:rsidR="00985D1A" w:rsidRDefault="00985D1A" w:rsidP="001857FC">
      <w:pPr>
        <w:spacing w:after="0" w:line="240" w:lineRule="auto"/>
      </w:pPr>
      <w:r>
        <w:continuationSeparator/>
      </w:r>
    </w:p>
  </w:footnote>
  <w:footnote w:id="1">
    <w:p w:rsidR="0021312E" w:rsidRPr="002656F2" w:rsidRDefault="0021312E" w:rsidP="0021312E">
      <w:pPr>
        <w:pStyle w:val="aa"/>
        <w:jc w:val="both"/>
        <w:rPr>
          <w:sz w:val="24"/>
          <w:szCs w:val="24"/>
          <w:rtl/>
        </w:rPr>
      </w:pPr>
      <w:r w:rsidRPr="002656F2">
        <w:rPr>
          <w:rFonts w:hint="cs"/>
          <w:sz w:val="24"/>
          <w:szCs w:val="24"/>
          <w:rtl/>
        </w:rPr>
        <w:t>(</w:t>
      </w:r>
      <w:r w:rsidRPr="002656F2">
        <w:rPr>
          <w:rStyle w:val="ab"/>
          <w:sz w:val="24"/>
          <w:szCs w:val="24"/>
        </w:rPr>
        <w:footnoteRef/>
      </w:r>
      <w:r w:rsidRPr="002656F2">
        <w:rPr>
          <w:rFonts w:hint="cs"/>
          <w:sz w:val="24"/>
          <w:szCs w:val="24"/>
          <w:rtl/>
        </w:rPr>
        <w:t xml:space="preserve">) </w:t>
      </w:r>
      <w:r w:rsidRPr="002656F2">
        <w:rPr>
          <w:rFonts w:cs="Arial" w:hint="cs"/>
          <w:sz w:val="24"/>
          <w:szCs w:val="24"/>
          <w:rtl/>
        </w:rPr>
        <w:t>د</w:t>
      </w:r>
      <w:r w:rsidRPr="002656F2">
        <w:rPr>
          <w:rFonts w:cs="Arial"/>
          <w:sz w:val="24"/>
          <w:szCs w:val="24"/>
          <w:rtl/>
        </w:rPr>
        <w:t xml:space="preserve">. </w:t>
      </w:r>
      <w:r w:rsidRPr="002656F2">
        <w:rPr>
          <w:rFonts w:cs="Arial" w:hint="cs"/>
          <w:sz w:val="24"/>
          <w:szCs w:val="24"/>
          <w:rtl/>
        </w:rPr>
        <w:t>حسن</w:t>
      </w:r>
      <w:r w:rsidRPr="002656F2">
        <w:rPr>
          <w:rFonts w:cs="Arial"/>
          <w:sz w:val="24"/>
          <w:szCs w:val="24"/>
          <w:rtl/>
        </w:rPr>
        <w:t xml:space="preserve"> </w:t>
      </w:r>
      <w:r w:rsidRPr="002656F2">
        <w:rPr>
          <w:rFonts w:cs="Arial" w:hint="cs"/>
          <w:sz w:val="24"/>
          <w:szCs w:val="24"/>
          <w:rtl/>
        </w:rPr>
        <w:t>الهداوي</w:t>
      </w:r>
      <w:r w:rsidRPr="002656F2">
        <w:rPr>
          <w:rFonts w:cs="Arial"/>
          <w:sz w:val="24"/>
          <w:szCs w:val="24"/>
          <w:rtl/>
        </w:rPr>
        <w:t xml:space="preserve"> </w:t>
      </w:r>
      <w:r w:rsidRPr="002656F2">
        <w:rPr>
          <w:rFonts w:cs="Arial" w:hint="cs"/>
          <w:sz w:val="24"/>
          <w:szCs w:val="24"/>
          <w:rtl/>
        </w:rPr>
        <w:t>ود</w:t>
      </w:r>
      <w:r w:rsidRPr="002656F2">
        <w:rPr>
          <w:rFonts w:cs="Arial"/>
          <w:sz w:val="24"/>
          <w:szCs w:val="24"/>
          <w:rtl/>
        </w:rPr>
        <w:t xml:space="preserve">. </w:t>
      </w:r>
      <w:r w:rsidRPr="002656F2">
        <w:rPr>
          <w:rFonts w:cs="Arial" w:hint="cs"/>
          <w:sz w:val="24"/>
          <w:szCs w:val="24"/>
          <w:rtl/>
        </w:rPr>
        <w:t>غالب</w:t>
      </w:r>
      <w:r w:rsidRPr="002656F2">
        <w:rPr>
          <w:rFonts w:cs="Arial"/>
          <w:sz w:val="24"/>
          <w:szCs w:val="24"/>
          <w:rtl/>
        </w:rPr>
        <w:t xml:space="preserve"> </w:t>
      </w:r>
      <w:r w:rsidRPr="002656F2">
        <w:rPr>
          <w:rFonts w:cs="Arial" w:hint="cs"/>
          <w:sz w:val="24"/>
          <w:szCs w:val="24"/>
          <w:rtl/>
        </w:rPr>
        <w:t>الداودي</w:t>
      </w:r>
      <w:r w:rsidRPr="002656F2">
        <w:rPr>
          <w:rFonts w:cs="Arial"/>
          <w:sz w:val="24"/>
          <w:szCs w:val="24"/>
          <w:rtl/>
        </w:rPr>
        <w:t xml:space="preserve"> – </w:t>
      </w:r>
      <w:r w:rsidRPr="002656F2">
        <w:rPr>
          <w:rFonts w:cs="Arial" w:hint="cs"/>
          <w:sz w:val="24"/>
          <w:szCs w:val="24"/>
          <w:rtl/>
        </w:rPr>
        <w:t>القانون</w:t>
      </w:r>
      <w:r w:rsidRPr="002656F2">
        <w:rPr>
          <w:rFonts w:cs="Arial"/>
          <w:sz w:val="24"/>
          <w:szCs w:val="24"/>
          <w:rtl/>
        </w:rPr>
        <w:t xml:space="preserve"> </w:t>
      </w:r>
      <w:r w:rsidRPr="002656F2">
        <w:rPr>
          <w:rFonts w:cs="Arial" w:hint="cs"/>
          <w:sz w:val="24"/>
          <w:szCs w:val="24"/>
          <w:rtl/>
        </w:rPr>
        <w:t>الدولي</w:t>
      </w:r>
      <w:r w:rsidRPr="002656F2">
        <w:rPr>
          <w:rFonts w:cs="Arial"/>
          <w:sz w:val="24"/>
          <w:szCs w:val="24"/>
          <w:rtl/>
        </w:rPr>
        <w:t xml:space="preserve"> </w:t>
      </w:r>
      <w:r w:rsidRPr="002656F2">
        <w:rPr>
          <w:rFonts w:cs="Arial" w:hint="cs"/>
          <w:sz w:val="24"/>
          <w:szCs w:val="24"/>
          <w:rtl/>
        </w:rPr>
        <w:t>الخاص</w:t>
      </w:r>
      <w:r w:rsidRPr="002656F2">
        <w:rPr>
          <w:rFonts w:cs="Arial"/>
          <w:sz w:val="24"/>
          <w:szCs w:val="24"/>
          <w:rtl/>
        </w:rPr>
        <w:t xml:space="preserve"> – </w:t>
      </w:r>
      <w:r w:rsidRPr="002656F2">
        <w:rPr>
          <w:rFonts w:cs="Arial" w:hint="cs"/>
          <w:sz w:val="24"/>
          <w:szCs w:val="24"/>
          <w:rtl/>
        </w:rPr>
        <w:t>الجنسية</w:t>
      </w:r>
      <w:r w:rsidRPr="002656F2">
        <w:rPr>
          <w:rFonts w:cs="Arial"/>
          <w:sz w:val="24"/>
          <w:szCs w:val="24"/>
          <w:rtl/>
        </w:rPr>
        <w:t xml:space="preserve"> </w:t>
      </w:r>
      <w:r w:rsidRPr="002656F2">
        <w:rPr>
          <w:rFonts w:cs="Arial" w:hint="cs"/>
          <w:sz w:val="24"/>
          <w:szCs w:val="24"/>
          <w:rtl/>
        </w:rPr>
        <w:t>الموطن</w:t>
      </w:r>
      <w:r w:rsidRPr="002656F2">
        <w:rPr>
          <w:rFonts w:cs="Arial"/>
          <w:sz w:val="24"/>
          <w:szCs w:val="24"/>
          <w:rtl/>
        </w:rPr>
        <w:t xml:space="preserve"> </w:t>
      </w:r>
      <w:r w:rsidRPr="002656F2">
        <w:rPr>
          <w:rFonts w:cs="Arial" w:hint="cs"/>
          <w:sz w:val="24"/>
          <w:szCs w:val="24"/>
          <w:rtl/>
        </w:rPr>
        <w:t>مركز</w:t>
      </w:r>
      <w:r w:rsidRPr="002656F2">
        <w:rPr>
          <w:rFonts w:cs="Arial"/>
          <w:sz w:val="24"/>
          <w:szCs w:val="24"/>
          <w:rtl/>
        </w:rPr>
        <w:t xml:space="preserve"> </w:t>
      </w:r>
      <w:r w:rsidRPr="002656F2">
        <w:rPr>
          <w:rFonts w:cs="Arial" w:hint="cs"/>
          <w:sz w:val="24"/>
          <w:szCs w:val="24"/>
          <w:rtl/>
        </w:rPr>
        <w:t>الأجانب</w:t>
      </w:r>
      <w:r w:rsidRPr="002656F2">
        <w:rPr>
          <w:rFonts w:cs="Arial"/>
          <w:sz w:val="24"/>
          <w:szCs w:val="24"/>
          <w:rtl/>
        </w:rPr>
        <w:t xml:space="preserve"> – </w:t>
      </w:r>
      <w:r w:rsidRPr="002656F2">
        <w:rPr>
          <w:rFonts w:cs="Arial" w:hint="cs"/>
          <w:sz w:val="24"/>
          <w:szCs w:val="24"/>
          <w:rtl/>
        </w:rPr>
        <w:t>المصدر</w:t>
      </w:r>
      <w:r w:rsidRPr="002656F2">
        <w:rPr>
          <w:rFonts w:cs="Arial"/>
          <w:sz w:val="24"/>
          <w:szCs w:val="24"/>
          <w:rtl/>
        </w:rPr>
        <w:t xml:space="preserve"> </w:t>
      </w:r>
      <w:r w:rsidRPr="002656F2">
        <w:rPr>
          <w:rFonts w:cs="Arial" w:hint="cs"/>
          <w:sz w:val="24"/>
          <w:szCs w:val="24"/>
          <w:rtl/>
        </w:rPr>
        <w:t>السابق</w:t>
      </w:r>
      <w:r w:rsidRPr="002656F2">
        <w:rPr>
          <w:rFonts w:cs="Arial"/>
          <w:sz w:val="24"/>
          <w:szCs w:val="24"/>
          <w:rtl/>
        </w:rPr>
        <w:t xml:space="preserve"> – </w:t>
      </w:r>
      <w:r w:rsidRPr="002656F2">
        <w:rPr>
          <w:rFonts w:cs="Arial" w:hint="cs"/>
          <w:sz w:val="24"/>
          <w:szCs w:val="24"/>
          <w:rtl/>
        </w:rPr>
        <w:t>ص</w:t>
      </w:r>
      <w:r w:rsidRPr="002656F2">
        <w:rPr>
          <w:rFonts w:cs="Arial"/>
          <w:sz w:val="24"/>
          <w:szCs w:val="24"/>
          <w:rtl/>
        </w:rPr>
        <w:t>229.</w:t>
      </w:r>
    </w:p>
  </w:footnote>
  <w:footnote w:id="2">
    <w:p w:rsidR="0021312E" w:rsidRPr="002B51E1" w:rsidRDefault="0021312E" w:rsidP="0021312E">
      <w:pPr>
        <w:pStyle w:val="aa"/>
        <w:rPr>
          <w:sz w:val="24"/>
          <w:szCs w:val="24"/>
          <w:rtl/>
          <w:lang w:bidi="ar-IQ"/>
        </w:rPr>
      </w:pPr>
      <w:r w:rsidRPr="002B51E1">
        <w:rPr>
          <w:rFonts w:hint="cs"/>
          <w:sz w:val="24"/>
          <w:szCs w:val="24"/>
          <w:rtl/>
        </w:rPr>
        <w:t>(</w:t>
      </w:r>
      <w:r w:rsidRPr="002B51E1">
        <w:rPr>
          <w:rStyle w:val="ab"/>
          <w:sz w:val="24"/>
          <w:szCs w:val="24"/>
        </w:rPr>
        <w:footnoteRef/>
      </w:r>
      <w:r w:rsidRPr="002B51E1">
        <w:rPr>
          <w:rFonts w:hint="cs"/>
          <w:sz w:val="24"/>
          <w:szCs w:val="24"/>
          <w:rtl/>
        </w:rPr>
        <w:t>)</w:t>
      </w:r>
      <w:r>
        <w:rPr>
          <w:rFonts w:cs="Arial" w:hint="cs"/>
          <w:sz w:val="24"/>
          <w:szCs w:val="24"/>
          <w:rtl/>
          <w:lang w:bidi="ar-IQ"/>
        </w:rPr>
        <w:t xml:space="preserve"> </w:t>
      </w:r>
      <w:r w:rsidRPr="002B51E1">
        <w:rPr>
          <w:rFonts w:cs="Arial" w:hint="cs"/>
          <w:sz w:val="24"/>
          <w:szCs w:val="24"/>
          <w:rtl/>
          <w:lang w:bidi="ar-IQ"/>
        </w:rPr>
        <w:t>د</w:t>
      </w:r>
      <w:r w:rsidRPr="002B51E1">
        <w:rPr>
          <w:rFonts w:cs="Arial"/>
          <w:sz w:val="24"/>
          <w:szCs w:val="24"/>
          <w:rtl/>
          <w:lang w:bidi="ar-IQ"/>
        </w:rPr>
        <w:t xml:space="preserve">. </w:t>
      </w:r>
      <w:r w:rsidRPr="002B51E1">
        <w:rPr>
          <w:rFonts w:cs="Arial" w:hint="cs"/>
          <w:sz w:val="24"/>
          <w:szCs w:val="24"/>
          <w:rtl/>
          <w:lang w:bidi="ar-IQ"/>
        </w:rPr>
        <w:t>حسن</w:t>
      </w:r>
      <w:r w:rsidRPr="002B51E1">
        <w:rPr>
          <w:rFonts w:cs="Arial"/>
          <w:sz w:val="24"/>
          <w:szCs w:val="24"/>
          <w:rtl/>
          <w:lang w:bidi="ar-IQ"/>
        </w:rPr>
        <w:t xml:space="preserve"> </w:t>
      </w:r>
      <w:r w:rsidRPr="002B51E1">
        <w:rPr>
          <w:rFonts w:cs="Arial" w:hint="cs"/>
          <w:sz w:val="24"/>
          <w:szCs w:val="24"/>
          <w:rtl/>
          <w:lang w:bidi="ar-IQ"/>
        </w:rPr>
        <w:t>الهداوي</w:t>
      </w:r>
      <w:r w:rsidRPr="002B51E1">
        <w:rPr>
          <w:rFonts w:cs="Arial"/>
          <w:sz w:val="24"/>
          <w:szCs w:val="24"/>
          <w:rtl/>
          <w:lang w:bidi="ar-IQ"/>
        </w:rPr>
        <w:t xml:space="preserve"> </w:t>
      </w:r>
      <w:r w:rsidRPr="002B51E1">
        <w:rPr>
          <w:rFonts w:cs="Arial" w:hint="cs"/>
          <w:sz w:val="24"/>
          <w:szCs w:val="24"/>
          <w:rtl/>
          <w:lang w:bidi="ar-IQ"/>
        </w:rPr>
        <w:t>ود</w:t>
      </w:r>
      <w:r w:rsidRPr="002B51E1">
        <w:rPr>
          <w:rFonts w:cs="Arial"/>
          <w:sz w:val="24"/>
          <w:szCs w:val="24"/>
          <w:rtl/>
          <w:lang w:bidi="ar-IQ"/>
        </w:rPr>
        <w:t xml:space="preserve">. </w:t>
      </w:r>
      <w:r w:rsidRPr="002B51E1">
        <w:rPr>
          <w:rFonts w:cs="Arial" w:hint="cs"/>
          <w:sz w:val="24"/>
          <w:szCs w:val="24"/>
          <w:rtl/>
          <w:lang w:bidi="ar-IQ"/>
        </w:rPr>
        <w:t>غالب</w:t>
      </w:r>
      <w:r w:rsidRPr="002B51E1">
        <w:rPr>
          <w:rFonts w:cs="Arial"/>
          <w:sz w:val="24"/>
          <w:szCs w:val="24"/>
          <w:rtl/>
          <w:lang w:bidi="ar-IQ"/>
        </w:rPr>
        <w:t xml:space="preserve"> </w:t>
      </w:r>
      <w:r w:rsidRPr="002B51E1">
        <w:rPr>
          <w:rFonts w:cs="Arial" w:hint="cs"/>
          <w:sz w:val="24"/>
          <w:szCs w:val="24"/>
          <w:rtl/>
          <w:lang w:bidi="ar-IQ"/>
        </w:rPr>
        <w:t>الداودي</w:t>
      </w:r>
      <w:r w:rsidRPr="002B51E1">
        <w:rPr>
          <w:rFonts w:cs="Arial"/>
          <w:sz w:val="24"/>
          <w:szCs w:val="24"/>
          <w:rtl/>
          <w:lang w:bidi="ar-IQ"/>
        </w:rPr>
        <w:t xml:space="preserve"> – </w:t>
      </w:r>
      <w:r w:rsidRPr="002B51E1">
        <w:rPr>
          <w:rFonts w:cs="Arial" w:hint="cs"/>
          <w:sz w:val="24"/>
          <w:szCs w:val="24"/>
          <w:rtl/>
          <w:lang w:bidi="ar-IQ"/>
        </w:rPr>
        <w:t>مصدر</w:t>
      </w:r>
      <w:r w:rsidRPr="002B51E1">
        <w:rPr>
          <w:rFonts w:cs="Arial"/>
          <w:sz w:val="24"/>
          <w:szCs w:val="24"/>
          <w:rtl/>
          <w:lang w:bidi="ar-IQ"/>
        </w:rPr>
        <w:t xml:space="preserve"> </w:t>
      </w:r>
      <w:r w:rsidRPr="002B51E1">
        <w:rPr>
          <w:rFonts w:cs="Arial" w:hint="cs"/>
          <w:sz w:val="24"/>
          <w:szCs w:val="24"/>
          <w:rtl/>
          <w:lang w:bidi="ar-IQ"/>
        </w:rPr>
        <w:t>سابق</w:t>
      </w:r>
      <w:r w:rsidRPr="002B51E1">
        <w:rPr>
          <w:rFonts w:cs="Arial"/>
          <w:sz w:val="24"/>
          <w:szCs w:val="24"/>
          <w:rtl/>
          <w:lang w:bidi="ar-IQ"/>
        </w:rPr>
        <w:t xml:space="preserve"> – </w:t>
      </w:r>
      <w:r w:rsidRPr="002B51E1">
        <w:rPr>
          <w:rFonts w:cs="Arial" w:hint="cs"/>
          <w:sz w:val="24"/>
          <w:szCs w:val="24"/>
          <w:rtl/>
          <w:lang w:bidi="ar-IQ"/>
        </w:rPr>
        <w:t>ص</w:t>
      </w:r>
      <w:r w:rsidRPr="002B51E1">
        <w:rPr>
          <w:rFonts w:cs="Arial"/>
          <w:sz w:val="24"/>
          <w:szCs w:val="24"/>
          <w:rtl/>
          <w:lang w:bidi="ar-IQ"/>
        </w:rPr>
        <w:t>211 – 212.</w:t>
      </w:r>
    </w:p>
  </w:footnote>
  <w:footnote w:id="3">
    <w:p w:rsidR="0021312E" w:rsidRPr="002B51E1" w:rsidRDefault="0021312E" w:rsidP="0021312E">
      <w:pPr>
        <w:pStyle w:val="aa"/>
        <w:jc w:val="both"/>
        <w:rPr>
          <w:sz w:val="24"/>
          <w:szCs w:val="24"/>
          <w:rtl/>
        </w:rPr>
      </w:pPr>
      <w:r w:rsidRPr="002B51E1">
        <w:rPr>
          <w:rFonts w:hint="cs"/>
          <w:sz w:val="24"/>
          <w:szCs w:val="24"/>
          <w:rtl/>
        </w:rPr>
        <w:t>(</w:t>
      </w:r>
      <w:r w:rsidRPr="002B51E1">
        <w:rPr>
          <w:rStyle w:val="ab"/>
          <w:sz w:val="24"/>
          <w:szCs w:val="24"/>
        </w:rPr>
        <w:footnoteRef/>
      </w:r>
      <w:r w:rsidRPr="002B51E1">
        <w:rPr>
          <w:rFonts w:hint="cs"/>
          <w:sz w:val="24"/>
          <w:szCs w:val="24"/>
          <w:rtl/>
        </w:rPr>
        <w:t>)</w:t>
      </w:r>
      <w:r w:rsidRPr="002B51E1">
        <w:rPr>
          <w:rFonts w:cs="Arial" w:hint="cs"/>
          <w:sz w:val="24"/>
          <w:szCs w:val="24"/>
          <w:rtl/>
        </w:rPr>
        <w:t xml:space="preserve"> د</w:t>
      </w:r>
      <w:r w:rsidRPr="002B51E1">
        <w:rPr>
          <w:rFonts w:cs="Arial"/>
          <w:sz w:val="24"/>
          <w:szCs w:val="24"/>
          <w:rtl/>
        </w:rPr>
        <w:t xml:space="preserve">. </w:t>
      </w:r>
      <w:r w:rsidRPr="002B51E1">
        <w:rPr>
          <w:rFonts w:cs="Arial" w:hint="cs"/>
          <w:sz w:val="24"/>
          <w:szCs w:val="24"/>
          <w:rtl/>
        </w:rPr>
        <w:t>عز</w:t>
      </w:r>
      <w:r w:rsidRPr="002B51E1">
        <w:rPr>
          <w:rFonts w:cs="Arial"/>
          <w:sz w:val="24"/>
          <w:szCs w:val="24"/>
          <w:rtl/>
        </w:rPr>
        <w:t xml:space="preserve"> </w:t>
      </w:r>
      <w:r w:rsidRPr="002B51E1">
        <w:rPr>
          <w:rFonts w:cs="Arial" w:hint="cs"/>
          <w:sz w:val="24"/>
          <w:szCs w:val="24"/>
          <w:rtl/>
        </w:rPr>
        <w:t>الدين</w:t>
      </w:r>
      <w:r w:rsidRPr="002B51E1">
        <w:rPr>
          <w:rFonts w:cs="Arial"/>
          <w:sz w:val="24"/>
          <w:szCs w:val="24"/>
          <w:rtl/>
        </w:rPr>
        <w:t xml:space="preserve"> </w:t>
      </w:r>
      <w:r w:rsidRPr="002B51E1">
        <w:rPr>
          <w:rFonts w:cs="Arial" w:hint="cs"/>
          <w:sz w:val="24"/>
          <w:szCs w:val="24"/>
          <w:rtl/>
        </w:rPr>
        <w:t>عبد</w:t>
      </w:r>
      <w:r w:rsidRPr="002B51E1">
        <w:rPr>
          <w:rFonts w:cs="Arial"/>
          <w:sz w:val="24"/>
          <w:szCs w:val="24"/>
          <w:rtl/>
        </w:rPr>
        <w:t xml:space="preserve"> </w:t>
      </w:r>
      <w:r w:rsidRPr="002B51E1">
        <w:rPr>
          <w:rFonts w:cs="Arial" w:hint="cs"/>
          <w:sz w:val="24"/>
          <w:szCs w:val="24"/>
          <w:rtl/>
        </w:rPr>
        <w:t>الله</w:t>
      </w:r>
      <w:r w:rsidRPr="002B51E1">
        <w:rPr>
          <w:rFonts w:cs="Arial"/>
          <w:sz w:val="24"/>
          <w:szCs w:val="24"/>
          <w:rtl/>
        </w:rPr>
        <w:t xml:space="preserve"> </w:t>
      </w:r>
      <w:r w:rsidRPr="002B51E1">
        <w:rPr>
          <w:rFonts w:cs="Arial" w:hint="cs"/>
          <w:sz w:val="24"/>
          <w:szCs w:val="24"/>
          <w:rtl/>
        </w:rPr>
        <w:t>القانون</w:t>
      </w:r>
      <w:r w:rsidRPr="002B51E1">
        <w:rPr>
          <w:rFonts w:cs="Arial"/>
          <w:sz w:val="24"/>
          <w:szCs w:val="24"/>
          <w:rtl/>
        </w:rPr>
        <w:t xml:space="preserve"> </w:t>
      </w:r>
      <w:r w:rsidRPr="002B51E1">
        <w:rPr>
          <w:rFonts w:cs="Arial" w:hint="cs"/>
          <w:sz w:val="24"/>
          <w:szCs w:val="24"/>
          <w:rtl/>
        </w:rPr>
        <w:t>الدولي</w:t>
      </w:r>
      <w:r w:rsidRPr="002B51E1">
        <w:rPr>
          <w:rFonts w:cs="Arial"/>
          <w:sz w:val="24"/>
          <w:szCs w:val="24"/>
          <w:rtl/>
        </w:rPr>
        <w:t xml:space="preserve"> </w:t>
      </w:r>
      <w:r w:rsidRPr="002B51E1">
        <w:rPr>
          <w:rFonts w:cs="Arial" w:hint="cs"/>
          <w:sz w:val="24"/>
          <w:szCs w:val="24"/>
          <w:rtl/>
        </w:rPr>
        <w:t>الخاص</w:t>
      </w:r>
      <w:r w:rsidRPr="002B51E1">
        <w:rPr>
          <w:rFonts w:cs="Arial"/>
          <w:sz w:val="24"/>
          <w:szCs w:val="24"/>
          <w:rtl/>
        </w:rPr>
        <w:t xml:space="preserve"> </w:t>
      </w:r>
      <w:r w:rsidRPr="002B51E1">
        <w:rPr>
          <w:rFonts w:cs="Arial" w:hint="cs"/>
          <w:sz w:val="24"/>
          <w:szCs w:val="24"/>
          <w:rtl/>
        </w:rPr>
        <w:t>المصري</w:t>
      </w:r>
      <w:r w:rsidRPr="002B51E1">
        <w:rPr>
          <w:rFonts w:cs="Arial"/>
          <w:sz w:val="24"/>
          <w:szCs w:val="24"/>
          <w:rtl/>
        </w:rPr>
        <w:t xml:space="preserve"> – </w:t>
      </w:r>
      <w:r w:rsidRPr="002B51E1">
        <w:rPr>
          <w:rFonts w:cs="Arial" w:hint="cs"/>
          <w:sz w:val="24"/>
          <w:szCs w:val="24"/>
          <w:rtl/>
        </w:rPr>
        <w:t>الجزء</w:t>
      </w:r>
      <w:r w:rsidRPr="002B51E1">
        <w:rPr>
          <w:rFonts w:cs="Arial"/>
          <w:sz w:val="24"/>
          <w:szCs w:val="24"/>
          <w:rtl/>
        </w:rPr>
        <w:t xml:space="preserve"> </w:t>
      </w:r>
      <w:r w:rsidRPr="002B51E1">
        <w:rPr>
          <w:rFonts w:cs="Arial" w:hint="cs"/>
          <w:sz w:val="24"/>
          <w:szCs w:val="24"/>
          <w:rtl/>
        </w:rPr>
        <w:t>الأول</w:t>
      </w:r>
      <w:r w:rsidRPr="002B51E1">
        <w:rPr>
          <w:rFonts w:cs="Arial"/>
          <w:sz w:val="24"/>
          <w:szCs w:val="24"/>
          <w:rtl/>
        </w:rPr>
        <w:t xml:space="preserve"> – (</w:t>
      </w:r>
      <w:r w:rsidRPr="002B51E1">
        <w:rPr>
          <w:rFonts w:cs="Arial" w:hint="cs"/>
          <w:sz w:val="24"/>
          <w:szCs w:val="24"/>
          <w:rtl/>
        </w:rPr>
        <w:t>الجنسية</w:t>
      </w:r>
      <w:r w:rsidRPr="002B51E1">
        <w:rPr>
          <w:rFonts w:cs="Arial"/>
          <w:sz w:val="24"/>
          <w:szCs w:val="24"/>
          <w:rtl/>
        </w:rPr>
        <w:t xml:space="preserve"> </w:t>
      </w:r>
      <w:r w:rsidRPr="002B51E1">
        <w:rPr>
          <w:rFonts w:cs="Arial" w:hint="cs"/>
          <w:sz w:val="24"/>
          <w:szCs w:val="24"/>
          <w:rtl/>
        </w:rPr>
        <w:t>الموطن</w:t>
      </w:r>
      <w:r w:rsidRPr="002B51E1">
        <w:rPr>
          <w:rFonts w:cs="Arial"/>
          <w:sz w:val="24"/>
          <w:szCs w:val="24"/>
          <w:rtl/>
        </w:rPr>
        <w:t xml:space="preserve"> </w:t>
      </w:r>
      <w:r w:rsidRPr="002B51E1">
        <w:rPr>
          <w:rFonts w:cs="Arial" w:hint="cs"/>
          <w:sz w:val="24"/>
          <w:szCs w:val="24"/>
          <w:rtl/>
        </w:rPr>
        <w:t>تمتع</w:t>
      </w:r>
      <w:r w:rsidRPr="002B51E1">
        <w:rPr>
          <w:rFonts w:cs="Arial"/>
          <w:sz w:val="24"/>
          <w:szCs w:val="24"/>
          <w:rtl/>
        </w:rPr>
        <w:t xml:space="preserve"> </w:t>
      </w:r>
      <w:r w:rsidRPr="002B51E1">
        <w:rPr>
          <w:rFonts w:cs="Arial" w:hint="cs"/>
          <w:sz w:val="24"/>
          <w:szCs w:val="24"/>
          <w:rtl/>
        </w:rPr>
        <w:t>الأجانب</w:t>
      </w:r>
      <w:r w:rsidRPr="002B51E1">
        <w:rPr>
          <w:rFonts w:cs="Arial"/>
          <w:sz w:val="24"/>
          <w:szCs w:val="24"/>
          <w:rtl/>
        </w:rPr>
        <w:t xml:space="preserve"> </w:t>
      </w:r>
      <w:r w:rsidRPr="002B51E1">
        <w:rPr>
          <w:rFonts w:cs="Arial" w:hint="cs"/>
          <w:sz w:val="24"/>
          <w:szCs w:val="24"/>
          <w:rtl/>
        </w:rPr>
        <w:t>بالحقوق</w:t>
      </w:r>
      <w:r w:rsidRPr="002B51E1">
        <w:rPr>
          <w:rFonts w:cs="Arial"/>
          <w:sz w:val="24"/>
          <w:szCs w:val="24"/>
          <w:rtl/>
        </w:rPr>
        <w:t xml:space="preserve">) – </w:t>
      </w:r>
      <w:r w:rsidRPr="002B51E1">
        <w:rPr>
          <w:rFonts w:cs="Arial" w:hint="cs"/>
          <w:sz w:val="24"/>
          <w:szCs w:val="24"/>
          <w:rtl/>
        </w:rPr>
        <w:t>الطبعة</w:t>
      </w:r>
      <w:r w:rsidRPr="002B51E1">
        <w:rPr>
          <w:rFonts w:cs="Arial"/>
          <w:sz w:val="24"/>
          <w:szCs w:val="24"/>
          <w:rtl/>
        </w:rPr>
        <w:t xml:space="preserve"> </w:t>
      </w:r>
      <w:r w:rsidRPr="002B51E1">
        <w:rPr>
          <w:rFonts w:cs="Arial" w:hint="cs"/>
          <w:sz w:val="24"/>
          <w:szCs w:val="24"/>
          <w:rtl/>
        </w:rPr>
        <w:t>الثالثة</w:t>
      </w:r>
      <w:r w:rsidRPr="002B51E1">
        <w:rPr>
          <w:rFonts w:cs="Arial"/>
          <w:sz w:val="24"/>
          <w:szCs w:val="24"/>
          <w:rtl/>
        </w:rPr>
        <w:t xml:space="preserve"> – </w:t>
      </w:r>
      <w:r w:rsidRPr="002B51E1">
        <w:rPr>
          <w:rFonts w:cs="Arial" w:hint="cs"/>
          <w:sz w:val="24"/>
          <w:szCs w:val="24"/>
          <w:rtl/>
        </w:rPr>
        <w:t>مطبعة</w:t>
      </w:r>
      <w:r w:rsidRPr="002B51E1">
        <w:rPr>
          <w:rFonts w:cs="Arial"/>
          <w:sz w:val="24"/>
          <w:szCs w:val="24"/>
          <w:rtl/>
        </w:rPr>
        <w:t xml:space="preserve"> </w:t>
      </w:r>
      <w:r w:rsidRPr="002B51E1">
        <w:rPr>
          <w:rFonts w:cs="Arial" w:hint="cs"/>
          <w:sz w:val="24"/>
          <w:szCs w:val="24"/>
          <w:rtl/>
        </w:rPr>
        <w:t>جامعة</w:t>
      </w:r>
      <w:r w:rsidRPr="002B51E1">
        <w:rPr>
          <w:rFonts w:cs="Arial"/>
          <w:sz w:val="24"/>
          <w:szCs w:val="24"/>
          <w:rtl/>
        </w:rPr>
        <w:t xml:space="preserve"> </w:t>
      </w:r>
      <w:r w:rsidRPr="002B51E1">
        <w:rPr>
          <w:rFonts w:cs="Arial" w:hint="cs"/>
          <w:sz w:val="24"/>
          <w:szCs w:val="24"/>
          <w:rtl/>
        </w:rPr>
        <w:t>القاهرة</w:t>
      </w:r>
      <w:r w:rsidRPr="002B51E1">
        <w:rPr>
          <w:rFonts w:cs="Arial"/>
          <w:sz w:val="24"/>
          <w:szCs w:val="24"/>
          <w:rtl/>
        </w:rPr>
        <w:t xml:space="preserve"> – 1953 – </w:t>
      </w:r>
      <w:r w:rsidRPr="002B51E1">
        <w:rPr>
          <w:rFonts w:cs="Arial" w:hint="cs"/>
          <w:sz w:val="24"/>
          <w:szCs w:val="24"/>
          <w:rtl/>
        </w:rPr>
        <w:t>ص</w:t>
      </w:r>
      <w:r w:rsidRPr="002B51E1">
        <w:rPr>
          <w:rFonts w:cs="Arial"/>
          <w:sz w:val="24"/>
          <w:szCs w:val="24"/>
          <w:rtl/>
        </w:rPr>
        <w:t>307.</w:t>
      </w:r>
    </w:p>
  </w:footnote>
  <w:footnote w:id="4">
    <w:p w:rsidR="0021312E" w:rsidRPr="002B51E1" w:rsidRDefault="0021312E" w:rsidP="0021312E">
      <w:pPr>
        <w:pStyle w:val="aa"/>
        <w:rPr>
          <w:sz w:val="24"/>
          <w:szCs w:val="24"/>
        </w:rPr>
      </w:pPr>
      <w:r w:rsidRPr="002B51E1">
        <w:rPr>
          <w:rFonts w:hint="cs"/>
          <w:sz w:val="24"/>
          <w:szCs w:val="24"/>
          <w:rtl/>
        </w:rPr>
        <w:t>(</w:t>
      </w:r>
      <w:r w:rsidRPr="002B51E1">
        <w:rPr>
          <w:rStyle w:val="ab"/>
          <w:sz w:val="24"/>
          <w:szCs w:val="24"/>
        </w:rPr>
        <w:footnoteRef/>
      </w:r>
      <w:r w:rsidRPr="002B51E1">
        <w:rPr>
          <w:rFonts w:hint="cs"/>
          <w:sz w:val="24"/>
          <w:szCs w:val="24"/>
          <w:rtl/>
        </w:rPr>
        <w:t>)</w:t>
      </w:r>
      <w:r w:rsidRPr="002B51E1">
        <w:rPr>
          <w:rFonts w:cs="Arial" w:hint="cs"/>
          <w:sz w:val="24"/>
          <w:szCs w:val="24"/>
          <w:rtl/>
        </w:rPr>
        <w:t xml:space="preserve"> د</w:t>
      </w:r>
      <w:r w:rsidRPr="002B51E1">
        <w:rPr>
          <w:rFonts w:cs="Arial"/>
          <w:sz w:val="24"/>
          <w:szCs w:val="24"/>
          <w:rtl/>
        </w:rPr>
        <w:t xml:space="preserve">. </w:t>
      </w:r>
      <w:r w:rsidRPr="002B51E1">
        <w:rPr>
          <w:rFonts w:cs="Arial" w:hint="cs"/>
          <w:sz w:val="24"/>
          <w:szCs w:val="24"/>
          <w:rtl/>
        </w:rPr>
        <w:t>عز</w:t>
      </w:r>
      <w:r w:rsidRPr="002B51E1">
        <w:rPr>
          <w:rFonts w:cs="Arial"/>
          <w:sz w:val="24"/>
          <w:szCs w:val="24"/>
          <w:rtl/>
        </w:rPr>
        <w:t xml:space="preserve"> </w:t>
      </w:r>
      <w:r w:rsidRPr="002B51E1">
        <w:rPr>
          <w:rFonts w:cs="Arial" w:hint="cs"/>
          <w:sz w:val="24"/>
          <w:szCs w:val="24"/>
          <w:rtl/>
        </w:rPr>
        <w:t>الدين</w:t>
      </w:r>
      <w:r w:rsidRPr="002B51E1">
        <w:rPr>
          <w:rFonts w:cs="Arial"/>
          <w:sz w:val="24"/>
          <w:szCs w:val="24"/>
          <w:rtl/>
        </w:rPr>
        <w:t xml:space="preserve"> </w:t>
      </w:r>
      <w:r w:rsidRPr="002B51E1">
        <w:rPr>
          <w:rFonts w:cs="Arial" w:hint="cs"/>
          <w:sz w:val="24"/>
          <w:szCs w:val="24"/>
          <w:rtl/>
        </w:rPr>
        <w:t>عبد</w:t>
      </w:r>
      <w:r w:rsidRPr="002B51E1">
        <w:rPr>
          <w:rFonts w:cs="Arial"/>
          <w:sz w:val="24"/>
          <w:szCs w:val="24"/>
          <w:rtl/>
        </w:rPr>
        <w:t xml:space="preserve"> </w:t>
      </w:r>
      <w:r w:rsidRPr="002B51E1">
        <w:rPr>
          <w:rFonts w:cs="Arial" w:hint="cs"/>
          <w:sz w:val="24"/>
          <w:szCs w:val="24"/>
          <w:rtl/>
        </w:rPr>
        <w:t>الله</w:t>
      </w:r>
      <w:r w:rsidRPr="002B51E1">
        <w:rPr>
          <w:rFonts w:cs="Arial"/>
          <w:sz w:val="24"/>
          <w:szCs w:val="24"/>
          <w:rtl/>
        </w:rPr>
        <w:t xml:space="preserve"> – </w:t>
      </w:r>
      <w:r w:rsidRPr="002B51E1">
        <w:rPr>
          <w:rFonts w:cs="Arial" w:hint="cs"/>
          <w:sz w:val="24"/>
          <w:szCs w:val="24"/>
          <w:rtl/>
        </w:rPr>
        <w:t>المصدر</w:t>
      </w:r>
      <w:r w:rsidRPr="002B51E1">
        <w:rPr>
          <w:rFonts w:cs="Arial"/>
          <w:sz w:val="24"/>
          <w:szCs w:val="24"/>
          <w:rtl/>
        </w:rPr>
        <w:t xml:space="preserve"> </w:t>
      </w:r>
      <w:r w:rsidRPr="002B51E1">
        <w:rPr>
          <w:rFonts w:cs="Arial" w:hint="cs"/>
          <w:sz w:val="24"/>
          <w:szCs w:val="24"/>
          <w:rtl/>
        </w:rPr>
        <w:t>السابق</w:t>
      </w:r>
      <w:r w:rsidRPr="002B51E1">
        <w:rPr>
          <w:rFonts w:cs="Arial"/>
          <w:sz w:val="24"/>
          <w:szCs w:val="24"/>
          <w:rtl/>
        </w:rPr>
        <w:t xml:space="preserve"> – </w:t>
      </w:r>
      <w:r w:rsidRPr="002B51E1">
        <w:rPr>
          <w:rFonts w:cs="Arial" w:hint="cs"/>
          <w:sz w:val="24"/>
          <w:szCs w:val="24"/>
          <w:rtl/>
        </w:rPr>
        <w:t>ص</w:t>
      </w:r>
      <w:r w:rsidRPr="002B51E1">
        <w:rPr>
          <w:rFonts w:cs="Arial"/>
          <w:sz w:val="24"/>
          <w:szCs w:val="24"/>
          <w:rtl/>
        </w:rPr>
        <w:t>540.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2079"/>
    <w:multiLevelType w:val="hybridMultilevel"/>
    <w:tmpl w:val="E346ACA8"/>
    <w:lvl w:ilvl="0" w:tplc="84843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C39BC"/>
    <w:multiLevelType w:val="hybridMultilevel"/>
    <w:tmpl w:val="25B6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E5A05"/>
    <w:multiLevelType w:val="hybridMultilevel"/>
    <w:tmpl w:val="40069A62"/>
    <w:lvl w:ilvl="0" w:tplc="37AE7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22726"/>
    <w:multiLevelType w:val="hybridMultilevel"/>
    <w:tmpl w:val="0B6EFE0A"/>
    <w:lvl w:ilvl="0" w:tplc="12C0AB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F0070"/>
    <w:multiLevelType w:val="hybridMultilevel"/>
    <w:tmpl w:val="A60A3B62"/>
    <w:lvl w:ilvl="0" w:tplc="9B44F02A">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C0088"/>
    <w:multiLevelType w:val="hybridMultilevel"/>
    <w:tmpl w:val="55B6C308"/>
    <w:lvl w:ilvl="0" w:tplc="ACF00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A071E"/>
    <w:multiLevelType w:val="hybridMultilevel"/>
    <w:tmpl w:val="0FC41A44"/>
    <w:lvl w:ilvl="0" w:tplc="E466B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15C97"/>
    <w:multiLevelType w:val="hybridMultilevel"/>
    <w:tmpl w:val="B88EC61E"/>
    <w:lvl w:ilvl="0" w:tplc="2BA83640">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005258"/>
    <w:multiLevelType w:val="hybridMultilevel"/>
    <w:tmpl w:val="C7D03528"/>
    <w:lvl w:ilvl="0" w:tplc="76E4A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D02BC"/>
    <w:multiLevelType w:val="hybridMultilevel"/>
    <w:tmpl w:val="03A8820A"/>
    <w:lvl w:ilvl="0" w:tplc="2F0AE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47A3E"/>
    <w:multiLevelType w:val="hybridMultilevel"/>
    <w:tmpl w:val="6F0214C4"/>
    <w:lvl w:ilvl="0" w:tplc="1960E93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E4B32"/>
    <w:multiLevelType w:val="hybridMultilevel"/>
    <w:tmpl w:val="2D36E942"/>
    <w:lvl w:ilvl="0" w:tplc="9A16E7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E77620"/>
    <w:multiLevelType w:val="hybridMultilevel"/>
    <w:tmpl w:val="50680602"/>
    <w:lvl w:ilvl="0" w:tplc="AACE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752CE7"/>
    <w:multiLevelType w:val="hybridMultilevel"/>
    <w:tmpl w:val="496AF744"/>
    <w:lvl w:ilvl="0" w:tplc="2F2C0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0548A8"/>
    <w:multiLevelType w:val="hybridMultilevel"/>
    <w:tmpl w:val="3FA4C1D6"/>
    <w:lvl w:ilvl="0" w:tplc="D054A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C85B41"/>
    <w:multiLevelType w:val="hybridMultilevel"/>
    <w:tmpl w:val="67E41382"/>
    <w:lvl w:ilvl="0" w:tplc="164A7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201946"/>
    <w:multiLevelType w:val="hybridMultilevel"/>
    <w:tmpl w:val="BEAA00FC"/>
    <w:lvl w:ilvl="0" w:tplc="35E4E20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2C5830"/>
    <w:multiLevelType w:val="hybridMultilevel"/>
    <w:tmpl w:val="78A83C1C"/>
    <w:lvl w:ilvl="0" w:tplc="42FADA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4F5958"/>
    <w:multiLevelType w:val="hybridMultilevel"/>
    <w:tmpl w:val="2506AEC2"/>
    <w:lvl w:ilvl="0" w:tplc="EFD204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B286464"/>
    <w:multiLevelType w:val="hybridMultilevel"/>
    <w:tmpl w:val="315E492A"/>
    <w:lvl w:ilvl="0" w:tplc="D910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E91EA1"/>
    <w:multiLevelType w:val="hybridMultilevel"/>
    <w:tmpl w:val="BF884C88"/>
    <w:lvl w:ilvl="0" w:tplc="E9FCE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7816B9"/>
    <w:multiLevelType w:val="hybridMultilevel"/>
    <w:tmpl w:val="18D0509E"/>
    <w:lvl w:ilvl="0" w:tplc="B868E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8526F5"/>
    <w:multiLevelType w:val="hybridMultilevel"/>
    <w:tmpl w:val="07DA70D4"/>
    <w:lvl w:ilvl="0" w:tplc="2378038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075760"/>
    <w:multiLevelType w:val="hybridMultilevel"/>
    <w:tmpl w:val="6D328346"/>
    <w:lvl w:ilvl="0" w:tplc="AC0CD0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DB279B"/>
    <w:multiLevelType w:val="hybridMultilevel"/>
    <w:tmpl w:val="C04A7A1A"/>
    <w:lvl w:ilvl="0" w:tplc="E6D64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557272"/>
    <w:multiLevelType w:val="hybridMultilevel"/>
    <w:tmpl w:val="2C88C586"/>
    <w:lvl w:ilvl="0" w:tplc="CC4E7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CB2C09"/>
    <w:multiLevelType w:val="hybridMultilevel"/>
    <w:tmpl w:val="88FE0372"/>
    <w:lvl w:ilvl="0" w:tplc="48685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9E52CF"/>
    <w:multiLevelType w:val="hybridMultilevel"/>
    <w:tmpl w:val="65946848"/>
    <w:lvl w:ilvl="0" w:tplc="95E60D80">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8">
    <w:nsid w:val="6D942609"/>
    <w:multiLevelType w:val="hybridMultilevel"/>
    <w:tmpl w:val="C49888F2"/>
    <w:lvl w:ilvl="0" w:tplc="E9FCE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DF6760"/>
    <w:multiLevelType w:val="hybridMultilevel"/>
    <w:tmpl w:val="5D92146E"/>
    <w:lvl w:ilvl="0" w:tplc="4CB2C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6"/>
  </w:num>
  <w:num w:numId="4">
    <w:abstractNumId w:val="24"/>
  </w:num>
  <w:num w:numId="5">
    <w:abstractNumId w:val="8"/>
  </w:num>
  <w:num w:numId="6">
    <w:abstractNumId w:val="12"/>
  </w:num>
  <w:num w:numId="7">
    <w:abstractNumId w:val="15"/>
  </w:num>
  <w:num w:numId="8">
    <w:abstractNumId w:val="19"/>
  </w:num>
  <w:num w:numId="9">
    <w:abstractNumId w:val="23"/>
  </w:num>
  <w:num w:numId="10">
    <w:abstractNumId w:val="3"/>
  </w:num>
  <w:num w:numId="11">
    <w:abstractNumId w:val="10"/>
  </w:num>
  <w:num w:numId="12">
    <w:abstractNumId w:val="27"/>
  </w:num>
  <w:num w:numId="13">
    <w:abstractNumId w:val="29"/>
  </w:num>
  <w:num w:numId="14">
    <w:abstractNumId w:val="25"/>
  </w:num>
  <w:num w:numId="15">
    <w:abstractNumId w:val="2"/>
  </w:num>
  <w:num w:numId="16">
    <w:abstractNumId w:val="21"/>
  </w:num>
  <w:num w:numId="17">
    <w:abstractNumId w:val="14"/>
  </w:num>
  <w:num w:numId="18">
    <w:abstractNumId w:val="18"/>
  </w:num>
  <w:num w:numId="19">
    <w:abstractNumId w:val="26"/>
  </w:num>
  <w:num w:numId="20">
    <w:abstractNumId w:val="13"/>
  </w:num>
  <w:num w:numId="21">
    <w:abstractNumId w:val="16"/>
  </w:num>
  <w:num w:numId="22">
    <w:abstractNumId w:val="17"/>
  </w:num>
  <w:num w:numId="23">
    <w:abstractNumId w:val="7"/>
  </w:num>
  <w:num w:numId="24">
    <w:abstractNumId w:val="22"/>
  </w:num>
  <w:num w:numId="25">
    <w:abstractNumId w:val="20"/>
  </w:num>
  <w:num w:numId="26">
    <w:abstractNumId w:val="28"/>
  </w:num>
  <w:num w:numId="27">
    <w:abstractNumId w:val="1"/>
  </w:num>
  <w:num w:numId="28">
    <w:abstractNumId w:val="4"/>
  </w:num>
  <w:num w:numId="29">
    <w:abstractNumId w:val="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DA"/>
    <w:rsid w:val="000D6729"/>
    <w:rsid w:val="00184A5E"/>
    <w:rsid w:val="001857FC"/>
    <w:rsid w:val="001973E6"/>
    <w:rsid w:val="0021312E"/>
    <w:rsid w:val="002630AE"/>
    <w:rsid w:val="0026375C"/>
    <w:rsid w:val="00291A16"/>
    <w:rsid w:val="0032645D"/>
    <w:rsid w:val="004439E5"/>
    <w:rsid w:val="00472062"/>
    <w:rsid w:val="00486139"/>
    <w:rsid w:val="004E3168"/>
    <w:rsid w:val="005D67F1"/>
    <w:rsid w:val="006A666F"/>
    <w:rsid w:val="006C5BCC"/>
    <w:rsid w:val="006E5D26"/>
    <w:rsid w:val="006F55F3"/>
    <w:rsid w:val="0080010C"/>
    <w:rsid w:val="00823A40"/>
    <w:rsid w:val="009662BE"/>
    <w:rsid w:val="00985D1A"/>
    <w:rsid w:val="009B0140"/>
    <w:rsid w:val="009D3F14"/>
    <w:rsid w:val="00A2137C"/>
    <w:rsid w:val="00A37ADA"/>
    <w:rsid w:val="00AB5762"/>
    <w:rsid w:val="00B41536"/>
    <w:rsid w:val="00C36F9D"/>
    <w:rsid w:val="00C72AEE"/>
    <w:rsid w:val="00CB5A30"/>
    <w:rsid w:val="00CB6A2D"/>
    <w:rsid w:val="00D451F7"/>
    <w:rsid w:val="00D5611C"/>
    <w:rsid w:val="00DB0C75"/>
    <w:rsid w:val="00DB3E2D"/>
    <w:rsid w:val="00E13FE3"/>
    <w:rsid w:val="00E17638"/>
    <w:rsid w:val="00E4212A"/>
    <w:rsid w:val="00E5168E"/>
    <w:rsid w:val="00F36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F1E"/>
    <w:pPr>
      <w:tabs>
        <w:tab w:val="center" w:pos="4153"/>
        <w:tab w:val="right" w:pos="8306"/>
      </w:tabs>
      <w:spacing w:after="0" w:line="240" w:lineRule="auto"/>
    </w:pPr>
  </w:style>
  <w:style w:type="character" w:customStyle="1" w:styleId="Char">
    <w:name w:val="رأس الصفحة Char"/>
    <w:basedOn w:val="a0"/>
    <w:link w:val="a3"/>
    <w:uiPriority w:val="99"/>
    <w:rsid w:val="00F36F1E"/>
  </w:style>
  <w:style w:type="paragraph" w:styleId="a4">
    <w:name w:val="footer"/>
    <w:basedOn w:val="a"/>
    <w:link w:val="Char0"/>
    <w:uiPriority w:val="99"/>
    <w:unhideWhenUsed/>
    <w:rsid w:val="00F36F1E"/>
    <w:pPr>
      <w:tabs>
        <w:tab w:val="center" w:pos="4153"/>
        <w:tab w:val="right" w:pos="8306"/>
      </w:tabs>
      <w:spacing w:after="0" w:line="240" w:lineRule="auto"/>
    </w:pPr>
  </w:style>
  <w:style w:type="character" w:customStyle="1" w:styleId="Char0">
    <w:name w:val="تذييل الصفحة Char"/>
    <w:basedOn w:val="a0"/>
    <w:link w:val="a4"/>
    <w:uiPriority w:val="99"/>
    <w:rsid w:val="00F36F1E"/>
  </w:style>
  <w:style w:type="character" w:styleId="a5">
    <w:name w:val="Subtle Emphasis"/>
    <w:basedOn w:val="a0"/>
    <w:uiPriority w:val="19"/>
    <w:qFormat/>
    <w:rsid w:val="00F36F1E"/>
    <w:rPr>
      <w:i/>
      <w:iCs/>
      <w:color w:val="808080" w:themeColor="text1" w:themeTint="7F"/>
    </w:rPr>
  </w:style>
  <w:style w:type="paragraph" w:styleId="a6">
    <w:name w:val="Balloon Text"/>
    <w:basedOn w:val="a"/>
    <w:link w:val="Char1"/>
    <w:uiPriority w:val="99"/>
    <w:semiHidden/>
    <w:unhideWhenUsed/>
    <w:rsid w:val="00F36F1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36F1E"/>
    <w:rPr>
      <w:rFonts w:ascii="Tahoma" w:hAnsi="Tahoma" w:cs="Tahoma"/>
      <w:sz w:val="16"/>
      <w:szCs w:val="16"/>
    </w:rPr>
  </w:style>
  <w:style w:type="paragraph" w:styleId="a7">
    <w:name w:val="List Paragraph"/>
    <w:basedOn w:val="a"/>
    <w:uiPriority w:val="34"/>
    <w:qFormat/>
    <w:rsid w:val="00F36F1E"/>
    <w:pPr>
      <w:ind w:left="720"/>
      <w:contextualSpacing/>
    </w:pPr>
  </w:style>
  <w:style w:type="paragraph" w:styleId="a8">
    <w:name w:val="endnote text"/>
    <w:basedOn w:val="a"/>
    <w:link w:val="Char2"/>
    <w:uiPriority w:val="99"/>
    <w:semiHidden/>
    <w:unhideWhenUsed/>
    <w:rsid w:val="001857FC"/>
    <w:pPr>
      <w:spacing w:after="0" w:line="240" w:lineRule="auto"/>
    </w:pPr>
    <w:rPr>
      <w:sz w:val="20"/>
      <w:szCs w:val="20"/>
    </w:rPr>
  </w:style>
  <w:style w:type="character" w:customStyle="1" w:styleId="Char2">
    <w:name w:val="نص تعليق ختامي Char"/>
    <w:basedOn w:val="a0"/>
    <w:link w:val="a8"/>
    <w:uiPriority w:val="99"/>
    <w:semiHidden/>
    <w:rsid w:val="001857FC"/>
    <w:rPr>
      <w:sz w:val="20"/>
      <w:szCs w:val="20"/>
    </w:rPr>
  </w:style>
  <w:style w:type="character" w:styleId="a9">
    <w:name w:val="endnote reference"/>
    <w:basedOn w:val="a0"/>
    <w:uiPriority w:val="99"/>
    <w:semiHidden/>
    <w:unhideWhenUsed/>
    <w:rsid w:val="001857FC"/>
    <w:rPr>
      <w:vertAlign w:val="superscript"/>
    </w:rPr>
  </w:style>
  <w:style w:type="paragraph" w:styleId="aa">
    <w:name w:val="footnote text"/>
    <w:basedOn w:val="a"/>
    <w:link w:val="Char3"/>
    <w:uiPriority w:val="99"/>
    <w:semiHidden/>
    <w:unhideWhenUsed/>
    <w:rsid w:val="001857FC"/>
    <w:pPr>
      <w:spacing w:after="0" w:line="240" w:lineRule="auto"/>
    </w:pPr>
    <w:rPr>
      <w:sz w:val="20"/>
      <w:szCs w:val="20"/>
    </w:rPr>
  </w:style>
  <w:style w:type="character" w:customStyle="1" w:styleId="Char3">
    <w:name w:val="نص حاشية سفلية Char"/>
    <w:basedOn w:val="a0"/>
    <w:link w:val="aa"/>
    <w:uiPriority w:val="99"/>
    <w:semiHidden/>
    <w:rsid w:val="001857FC"/>
    <w:rPr>
      <w:sz w:val="20"/>
      <w:szCs w:val="20"/>
    </w:rPr>
  </w:style>
  <w:style w:type="character" w:styleId="ab">
    <w:name w:val="footnote reference"/>
    <w:basedOn w:val="a0"/>
    <w:uiPriority w:val="99"/>
    <w:semiHidden/>
    <w:unhideWhenUsed/>
    <w:rsid w:val="001857FC"/>
    <w:rPr>
      <w:vertAlign w:val="superscript"/>
    </w:rPr>
  </w:style>
  <w:style w:type="paragraph" w:customStyle="1" w:styleId="BranchTitleTitle">
    <w:name w:val="Branch Title (Title)"/>
    <w:basedOn w:val="a"/>
    <w:next w:val="a"/>
    <w:uiPriority w:val="99"/>
    <w:rsid w:val="001857FC"/>
    <w:pPr>
      <w:keepNext/>
      <w:keepLines/>
      <w:autoSpaceDE w:val="0"/>
      <w:autoSpaceDN w:val="0"/>
      <w:adjustRightInd w:val="0"/>
      <w:spacing w:before="57" w:after="170" w:line="480" w:lineRule="atLeast"/>
      <w:ind w:left="1134" w:right="1134"/>
      <w:jc w:val="center"/>
      <w:textAlignment w:val="center"/>
    </w:pPr>
    <w:rPr>
      <w:rFonts w:ascii="Adobe نسخ Medium" w:hAnsi="Adobe نسخ Medium" w:cs="Adobe نسخ Medium"/>
      <w:color w:val="000000"/>
      <w:sz w:val="36"/>
      <w:szCs w:val="36"/>
      <w:u w:color="000000"/>
      <w:lang w:bidi="ar-YE"/>
    </w:rPr>
  </w:style>
  <w:style w:type="paragraph" w:customStyle="1" w:styleId="BodyBody">
    <w:name w:val="Body (Body)"/>
    <w:basedOn w:val="a"/>
    <w:uiPriority w:val="99"/>
    <w:rsid w:val="001857FC"/>
    <w:pPr>
      <w:autoSpaceDE w:val="0"/>
      <w:autoSpaceDN w:val="0"/>
      <w:adjustRightInd w:val="0"/>
      <w:spacing w:after="113" w:line="288" w:lineRule="auto"/>
      <w:ind w:firstLine="397"/>
      <w:jc w:val="both"/>
      <w:textAlignment w:val="center"/>
    </w:pPr>
    <w:rPr>
      <w:rFonts w:ascii="Al-QuranAlKareem" w:hAnsi="Al-QuranAlKareem" w:cs="Al-QuranAlKareem"/>
      <w:color w:val="000000"/>
      <w:position w:val="5"/>
      <w:sz w:val="30"/>
      <w:szCs w:val="30"/>
      <w:u w:color="000000"/>
      <w:lang w:bidi="ar-YE"/>
    </w:rPr>
  </w:style>
  <w:style w:type="character" w:customStyle="1" w:styleId="BoldBody">
    <w:name w:val="Bold (Body)"/>
    <w:uiPriority w:val="99"/>
    <w:rsid w:val="001857FC"/>
    <w:rPr>
      <w:b/>
      <w:bCs/>
    </w:rPr>
  </w:style>
  <w:style w:type="paragraph" w:customStyle="1" w:styleId="WordListingListing">
    <w:name w:val="Word Listing (Listing)"/>
    <w:basedOn w:val="a"/>
    <w:uiPriority w:val="99"/>
    <w:rsid w:val="001857FC"/>
    <w:pPr>
      <w:autoSpaceDE w:val="0"/>
      <w:autoSpaceDN w:val="0"/>
      <w:adjustRightInd w:val="0"/>
      <w:spacing w:after="57" w:line="440" w:lineRule="atLeast"/>
      <w:ind w:left="539" w:hanging="539"/>
      <w:jc w:val="both"/>
      <w:textAlignment w:val="center"/>
    </w:pPr>
    <w:rPr>
      <w:rFonts w:ascii="Al-QuranAlKareem" w:hAnsi="Al-QuranAlKareem" w:cs="Al-QuranAlKareem"/>
      <w:color w:val="000000"/>
      <w:position w:val="5"/>
      <w:sz w:val="30"/>
      <w:szCs w:val="30"/>
      <w:u w:color="000000"/>
      <w:lang w:bidi="ar-YE"/>
    </w:rPr>
  </w:style>
  <w:style w:type="paragraph" w:customStyle="1" w:styleId="MatterTitleTitle">
    <w:name w:val="Matter Title (Title)"/>
    <w:basedOn w:val="a"/>
    <w:next w:val="a"/>
    <w:uiPriority w:val="99"/>
    <w:rsid w:val="001857FC"/>
    <w:pPr>
      <w:keepNext/>
      <w:keepLines/>
      <w:autoSpaceDE w:val="0"/>
      <w:autoSpaceDN w:val="0"/>
      <w:adjustRightInd w:val="0"/>
      <w:spacing w:after="283" w:line="600" w:lineRule="atLeast"/>
      <w:ind w:left="1134" w:right="1134"/>
      <w:jc w:val="center"/>
      <w:textAlignment w:val="center"/>
    </w:pPr>
    <w:rPr>
      <w:rFonts w:ascii="Adobe نسخ Medium" w:hAnsi="Adobe نسخ Medium" w:cs="Adobe نسخ Medium"/>
      <w:color w:val="000000"/>
      <w:sz w:val="42"/>
      <w:szCs w:val="42"/>
      <w:u w:color="000000"/>
      <w:lang w:bidi="ar-YE"/>
    </w:rPr>
  </w:style>
  <w:style w:type="paragraph" w:customStyle="1" w:styleId="ListingListing">
    <w:name w:val="Listing (Listing)"/>
    <w:basedOn w:val="BodyBody"/>
    <w:uiPriority w:val="99"/>
    <w:rsid w:val="001857FC"/>
    <w:pPr>
      <w:spacing w:after="57" w:line="440" w:lineRule="atLeast"/>
      <w:ind w:left="386" w:hanging="386"/>
    </w:pPr>
  </w:style>
  <w:style w:type="character" w:customStyle="1" w:styleId="FootnotesReferenceFoontnotes">
    <w:name w:val="Footnotes Reference (Foontnotes)"/>
    <w:uiPriority w:val="99"/>
    <w:rsid w:val="001857FC"/>
    <w:rPr>
      <w:vertAlign w:val="superscript"/>
    </w:rPr>
  </w:style>
  <w:style w:type="character" w:customStyle="1" w:styleId="NonbreakingspacetrakingFoontnotes">
    <w:name w:val="Nonbreaking space traking (Foontnotes)"/>
    <w:uiPriority w:val="99"/>
    <w:rsid w:val="001857FC"/>
    <w:rPr>
      <w:vertAlign w:val="superscript"/>
    </w:rPr>
  </w:style>
  <w:style w:type="paragraph" w:customStyle="1" w:styleId="BranchTitle">
    <w:name w:val="Branch (Title)"/>
    <w:basedOn w:val="a"/>
    <w:next w:val="BranchTitleTitle"/>
    <w:uiPriority w:val="99"/>
    <w:rsid w:val="001857FC"/>
    <w:pPr>
      <w:keepNext/>
      <w:keepLines/>
      <w:autoSpaceDE w:val="0"/>
      <w:autoSpaceDN w:val="0"/>
      <w:adjustRightInd w:val="0"/>
      <w:spacing w:before="170" w:after="0" w:line="432" w:lineRule="atLeast"/>
      <w:jc w:val="center"/>
      <w:textAlignment w:val="center"/>
    </w:pPr>
    <w:rPr>
      <w:rFonts w:ascii="Adobe نسخ Medium" w:hAnsi="Adobe نسخ Medium" w:cs="Adobe نسخ Medium"/>
      <w:color w:val="000000"/>
      <w:sz w:val="36"/>
      <w:szCs w:val="36"/>
      <w:u w:color="000000"/>
      <w:lang w:bidi="ar-YE"/>
    </w:rPr>
  </w:style>
  <w:style w:type="paragraph" w:customStyle="1" w:styleId="FootnoteFootnote">
    <w:name w:val="Footnote (Footnote)"/>
    <w:basedOn w:val="BodyBody"/>
    <w:next w:val="a"/>
    <w:uiPriority w:val="99"/>
    <w:rsid w:val="001857FC"/>
    <w:pPr>
      <w:spacing w:after="0" w:line="300" w:lineRule="atLeast"/>
      <w:ind w:left="340" w:hanging="340"/>
    </w:pPr>
    <w:rPr>
      <w:rFonts w:ascii="Times New Roman" w:hAnsi="Times New Roman" w:cs="Times New Roman"/>
      <w:position w:val="0"/>
      <w:sz w:val="22"/>
      <w:szCs w:val="22"/>
    </w:rPr>
  </w:style>
  <w:style w:type="character" w:customStyle="1" w:styleId="EnglishFootnoteFoontnotes">
    <w:name w:val="English Footnote (Foontnotes)"/>
    <w:uiPriority w:val="99"/>
    <w:rsid w:val="001857FC"/>
    <w:rPr>
      <w:sz w:val="20"/>
      <w:szCs w:val="20"/>
      <w:lang w:val="en-GB"/>
    </w:rPr>
  </w:style>
  <w:style w:type="paragraph" w:customStyle="1" w:styleId="ChapterTitleTitle">
    <w:name w:val="Chapter Title (Title)"/>
    <w:basedOn w:val="a"/>
    <w:next w:val="a"/>
    <w:uiPriority w:val="99"/>
    <w:rsid w:val="001857FC"/>
    <w:pPr>
      <w:keepNext/>
      <w:autoSpaceDE w:val="0"/>
      <w:autoSpaceDN w:val="0"/>
      <w:adjustRightInd w:val="0"/>
      <w:spacing w:after="0" w:line="800" w:lineRule="atLeast"/>
      <w:ind w:left="1134" w:right="1134"/>
      <w:jc w:val="center"/>
      <w:textAlignment w:val="center"/>
    </w:pPr>
    <w:rPr>
      <w:rFonts w:ascii="AlRaiMedia-Black" w:hAnsi="AlRaiMedia-Black" w:cs="AlRaiMedia-Black"/>
      <w:color w:val="000000"/>
      <w:sz w:val="66"/>
      <w:szCs w:val="66"/>
      <w:u w:color="000000"/>
      <w:lang w:bidi="ar-YE"/>
    </w:rPr>
  </w:style>
  <w:style w:type="paragraph" w:styleId="ac">
    <w:name w:val="Normal (Web)"/>
    <w:basedOn w:val="a"/>
    <w:uiPriority w:val="99"/>
    <w:unhideWhenUsed/>
    <w:rsid w:val="001857F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d">
    <w:name w:val="Revision"/>
    <w:hidden/>
    <w:uiPriority w:val="99"/>
    <w:semiHidden/>
    <w:rsid w:val="001857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F1E"/>
    <w:pPr>
      <w:tabs>
        <w:tab w:val="center" w:pos="4153"/>
        <w:tab w:val="right" w:pos="8306"/>
      </w:tabs>
      <w:spacing w:after="0" w:line="240" w:lineRule="auto"/>
    </w:pPr>
  </w:style>
  <w:style w:type="character" w:customStyle="1" w:styleId="Char">
    <w:name w:val="رأس الصفحة Char"/>
    <w:basedOn w:val="a0"/>
    <w:link w:val="a3"/>
    <w:uiPriority w:val="99"/>
    <w:rsid w:val="00F36F1E"/>
  </w:style>
  <w:style w:type="paragraph" w:styleId="a4">
    <w:name w:val="footer"/>
    <w:basedOn w:val="a"/>
    <w:link w:val="Char0"/>
    <w:uiPriority w:val="99"/>
    <w:unhideWhenUsed/>
    <w:rsid w:val="00F36F1E"/>
    <w:pPr>
      <w:tabs>
        <w:tab w:val="center" w:pos="4153"/>
        <w:tab w:val="right" w:pos="8306"/>
      </w:tabs>
      <w:spacing w:after="0" w:line="240" w:lineRule="auto"/>
    </w:pPr>
  </w:style>
  <w:style w:type="character" w:customStyle="1" w:styleId="Char0">
    <w:name w:val="تذييل الصفحة Char"/>
    <w:basedOn w:val="a0"/>
    <w:link w:val="a4"/>
    <w:uiPriority w:val="99"/>
    <w:rsid w:val="00F36F1E"/>
  </w:style>
  <w:style w:type="character" w:styleId="a5">
    <w:name w:val="Subtle Emphasis"/>
    <w:basedOn w:val="a0"/>
    <w:uiPriority w:val="19"/>
    <w:qFormat/>
    <w:rsid w:val="00F36F1E"/>
    <w:rPr>
      <w:i/>
      <w:iCs/>
      <w:color w:val="808080" w:themeColor="text1" w:themeTint="7F"/>
    </w:rPr>
  </w:style>
  <w:style w:type="paragraph" w:styleId="a6">
    <w:name w:val="Balloon Text"/>
    <w:basedOn w:val="a"/>
    <w:link w:val="Char1"/>
    <w:uiPriority w:val="99"/>
    <w:semiHidden/>
    <w:unhideWhenUsed/>
    <w:rsid w:val="00F36F1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36F1E"/>
    <w:rPr>
      <w:rFonts w:ascii="Tahoma" w:hAnsi="Tahoma" w:cs="Tahoma"/>
      <w:sz w:val="16"/>
      <w:szCs w:val="16"/>
    </w:rPr>
  </w:style>
  <w:style w:type="paragraph" w:styleId="a7">
    <w:name w:val="List Paragraph"/>
    <w:basedOn w:val="a"/>
    <w:uiPriority w:val="34"/>
    <w:qFormat/>
    <w:rsid w:val="00F36F1E"/>
    <w:pPr>
      <w:ind w:left="720"/>
      <w:contextualSpacing/>
    </w:pPr>
  </w:style>
  <w:style w:type="paragraph" w:styleId="a8">
    <w:name w:val="endnote text"/>
    <w:basedOn w:val="a"/>
    <w:link w:val="Char2"/>
    <w:uiPriority w:val="99"/>
    <w:semiHidden/>
    <w:unhideWhenUsed/>
    <w:rsid w:val="001857FC"/>
    <w:pPr>
      <w:spacing w:after="0" w:line="240" w:lineRule="auto"/>
    </w:pPr>
    <w:rPr>
      <w:sz w:val="20"/>
      <w:szCs w:val="20"/>
    </w:rPr>
  </w:style>
  <w:style w:type="character" w:customStyle="1" w:styleId="Char2">
    <w:name w:val="نص تعليق ختامي Char"/>
    <w:basedOn w:val="a0"/>
    <w:link w:val="a8"/>
    <w:uiPriority w:val="99"/>
    <w:semiHidden/>
    <w:rsid w:val="001857FC"/>
    <w:rPr>
      <w:sz w:val="20"/>
      <w:szCs w:val="20"/>
    </w:rPr>
  </w:style>
  <w:style w:type="character" w:styleId="a9">
    <w:name w:val="endnote reference"/>
    <w:basedOn w:val="a0"/>
    <w:uiPriority w:val="99"/>
    <w:semiHidden/>
    <w:unhideWhenUsed/>
    <w:rsid w:val="001857FC"/>
    <w:rPr>
      <w:vertAlign w:val="superscript"/>
    </w:rPr>
  </w:style>
  <w:style w:type="paragraph" w:styleId="aa">
    <w:name w:val="footnote text"/>
    <w:basedOn w:val="a"/>
    <w:link w:val="Char3"/>
    <w:uiPriority w:val="99"/>
    <w:semiHidden/>
    <w:unhideWhenUsed/>
    <w:rsid w:val="001857FC"/>
    <w:pPr>
      <w:spacing w:after="0" w:line="240" w:lineRule="auto"/>
    </w:pPr>
    <w:rPr>
      <w:sz w:val="20"/>
      <w:szCs w:val="20"/>
    </w:rPr>
  </w:style>
  <w:style w:type="character" w:customStyle="1" w:styleId="Char3">
    <w:name w:val="نص حاشية سفلية Char"/>
    <w:basedOn w:val="a0"/>
    <w:link w:val="aa"/>
    <w:uiPriority w:val="99"/>
    <w:semiHidden/>
    <w:rsid w:val="001857FC"/>
    <w:rPr>
      <w:sz w:val="20"/>
      <w:szCs w:val="20"/>
    </w:rPr>
  </w:style>
  <w:style w:type="character" w:styleId="ab">
    <w:name w:val="footnote reference"/>
    <w:basedOn w:val="a0"/>
    <w:uiPriority w:val="99"/>
    <w:semiHidden/>
    <w:unhideWhenUsed/>
    <w:rsid w:val="001857FC"/>
    <w:rPr>
      <w:vertAlign w:val="superscript"/>
    </w:rPr>
  </w:style>
  <w:style w:type="paragraph" w:customStyle="1" w:styleId="BranchTitleTitle">
    <w:name w:val="Branch Title (Title)"/>
    <w:basedOn w:val="a"/>
    <w:next w:val="a"/>
    <w:uiPriority w:val="99"/>
    <w:rsid w:val="001857FC"/>
    <w:pPr>
      <w:keepNext/>
      <w:keepLines/>
      <w:autoSpaceDE w:val="0"/>
      <w:autoSpaceDN w:val="0"/>
      <w:adjustRightInd w:val="0"/>
      <w:spacing w:before="57" w:after="170" w:line="480" w:lineRule="atLeast"/>
      <w:ind w:left="1134" w:right="1134"/>
      <w:jc w:val="center"/>
      <w:textAlignment w:val="center"/>
    </w:pPr>
    <w:rPr>
      <w:rFonts w:ascii="Adobe نسخ Medium" w:hAnsi="Adobe نسخ Medium" w:cs="Adobe نسخ Medium"/>
      <w:color w:val="000000"/>
      <w:sz w:val="36"/>
      <w:szCs w:val="36"/>
      <w:u w:color="000000"/>
      <w:lang w:bidi="ar-YE"/>
    </w:rPr>
  </w:style>
  <w:style w:type="paragraph" w:customStyle="1" w:styleId="BodyBody">
    <w:name w:val="Body (Body)"/>
    <w:basedOn w:val="a"/>
    <w:uiPriority w:val="99"/>
    <w:rsid w:val="001857FC"/>
    <w:pPr>
      <w:autoSpaceDE w:val="0"/>
      <w:autoSpaceDN w:val="0"/>
      <w:adjustRightInd w:val="0"/>
      <w:spacing w:after="113" w:line="288" w:lineRule="auto"/>
      <w:ind w:firstLine="397"/>
      <w:jc w:val="both"/>
      <w:textAlignment w:val="center"/>
    </w:pPr>
    <w:rPr>
      <w:rFonts w:ascii="Al-QuranAlKareem" w:hAnsi="Al-QuranAlKareem" w:cs="Al-QuranAlKareem"/>
      <w:color w:val="000000"/>
      <w:position w:val="5"/>
      <w:sz w:val="30"/>
      <w:szCs w:val="30"/>
      <w:u w:color="000000"/>
      <w:lang w:bidi="ar-YE"/>
    </w:rPr>
  </w:style>
  <w:style w:type="character" w:customStyle="1" w:styleId="BoldBody">
    <w:name w:val="Bold (Body)"/>
    <w:uiPriority w:val="99"/>
    <w:rsid w:val="001857FC"/>
    <w:rPr>
      <w:b/>
      <w:bCs/>
    </w:rPr>
  </w:style>
  <w:style w:type="paragraph" w:customStyle="1" w:styleId="WordListingListing">
    <w:name w:val="Word Listing (Listing)"/>
    <w:basedOn w:val="a"/>
    <w:uiPriority w:val="99"/>
    <w:rsid w:val="001857FC"/>
    <w:pPr>
      <w:autoSpaceDE w:val="0"/>
      <w:autoSpaceDN w:val="0"/>
      <w:adjustRightInd w:val="0"/>
      <w:spacing w:after="57" w:line="440" w:lineRule="atLeast"/>
      <w:ind w:left="539" w:hanging="539"/>
      <w:jc w:val="both"/>
      <w:textAlignment w:val="center"/>
    </w:pPr>
    <w:rPr>
      <w:rFonts w:ascii="Al-QuranAlKareem" w:hAnsi="Al-QuranAlKareem" w:cs="Al-QuranAlKareem"/>
      <w:color w:val="000000"/>
      <w:position w:val="5"/>
      <w:sz w:val="30"/>
      <w:szCs w:val="30"/>
      <w:u w:color="000000"/>
      <w:lang w:bidi="ar-YE"/>
    </w:rPr>
  </w:style>
  <w:style w:type="paragraph" w:customStyle="1" w:styleId="MatterTitleTitle">
    <w:name w:val="Matter Title (Title)"/>
    <w:basedOn w:val="a"/>
    <w:next w:val="a"/>
    <w:uiPriority w:val="99"/>
    <w:rsid w:val="001857FC"/>
    <w:pPr>
      <w:keepNext/>
      <w:keepLines/>
      <w:autoSpaceDE w:val="0"/>
      <w:autoSpaceDN w:val="0"/>
      <w:adjustRightInd w:val="0"/>
      <w:spacing w:after="283" w:line="600" w:lineRule="atLeast"/>
      <w:ind w:left="1134" w:right="1134"/>
      <w:jc w:val="center"/>
      <w:textAlignment w:val="center"/>
    </w:pPr>
    <w:rPr>
      <w:rFonts w:ascii="Adobe نسخ Medium" w:hAnsi="Adobe نسخ Medium" w:cs="Adobe نسخ Medium"/>
      <w:color w:val="000000"/>
      <w:sz w:val="42"/>
      <w:szCs w:val="42"/>
      <w:u w:color="000000"/>
      <w:lang w:bidi="ar-YE"/>
    </w:rPr>
  </w:style>
  <w:style w:type="paragraph" w:customStyle="1" w:styleId="ListingListing">
    <w:name w:val="Listing (Listing)"/>
    <w:basedOn w:val="BodyBody"/>
    <w:uiPriority w:val="99"/>
    <w:rsid w:val="001857FC"/>
    <w:pPr>
      <w:spacing w:after="57" w:line="440" w:lineRule="atLeast"/>
      <w:ind w:left="386" w:hanging="386"/>
    </w:pPr>
  </w:style>
  <w:style w:type="character" w:customStyle="1" w:styleId="FootnotesReferenceFoontnotes">
    <w:name w:val="Footnotes Reference (Foontnotes)"/>
    <w:uiPriority w:val="99"/>
    <w:rsid w:val="001857FC"/>
    <w:rPr>
      <w:vertAlign w:val="superscript"/>
    </w:rPr>
  </w:style>
  <w:style w:type="character" w:customStyle="1" w:styleId="NonbreakingspacetrakingFoontnotes">
    <w:name w:val="Nonbreaking space traking (Foontnotes)"/>
    <w:uiPriority w:val="99"/>
    <w:rsid w:val="001857FC"/>
    <w:rPr>
      <w:vertAlign w:val="superscript"/>
    </w:rPr>
  </w:style>
  <w:style w:type="paragraph" w:customStyle="1" w:styleId="BranchTitle">
    <w:name w:val="Branch (Title)"/>
    <w:basedOn w:val="a"/>
    <w:next w:val="BranchTitleTitle"/>
    <w:uiPriority w:val="99"/>
    <w:rsid w:val="001857FC"/>
    <w:pPr>
      <w:keepNext/>
      <w:keepLines/>
      <w:autoSpaceDE w:val="0"/>
      <w:autoSpaceDN w:val="0"/>
      <w:adjustRightInd w:val="0"/>
      <w:spacing w:before="170" w:after="0" w:line="432" w:lineRule="atLeast"/>
      <w:jc w:val="center"/>
      <w:textAlignment w:val="center"/>
    </w:pPr>
    <w:rPr>
      <w:rFonts w:ascii="Adobe نسخ Medium" w:hAnsi="Adobe نسخ Medium" w:cs="Adobe نسخ Medium"/>
      <w:color w:val="000000"/>
      <w:sz w:val="36"/>
      <w:szCs w:val="36"/>
      <w:u w:color="000000"/>
      <w:lang w:bidi="ar-YE"/>
    </w:rPr>
  </w:style>
  <w:style w:type="paragraph" w:customStyle="1" w:styleId="FootnoteFootnote">
    <w:name w:val="Footnote (Footnote)"/>
    <w:basedOn w:val="BodyBody"/>
    <w:next w:val="a"/>
    <w:uiPriority w:val="99"/>
    <w:rsid w:val="001857FC"/>
    <w:pPr>
      <w:spacing w:after="0" w:line="300" w:lineRule="atLeast"/>
      <w:ind w:left="340" w:hanging="340"/>
    </w:pPr>
    <w:rPr>
      <w:rFonts w:ascii="Times New Roman" w:hAnsi="Times New Roman" w:cs="Times New Roman"/>
      <w:position w:val="0"/>
      <w:sz w:val="22"/>
      <w:szCs w:val="22"/>
    </w:rPr>
  </w:style>
  <w:style w:type="character" w:customStyle="1" w:styleId="EnglishFootnoteFoontnotes">
    <w:name w:val="English Footnote (Foontnotes)"/>
    <w:uiPriority w:val="99"/>
    <w:rsid w:val="001857FC"/>
    <w:rPr>
      <w:sz w:val="20"/>
      <w:szCs w:val="20"/>
      <w:lang w:val="en-GB"/>
    </w:rPr>
  </w:style>
  <w:style w:type="paragraph" w:customStyle="1" w:styleId="ChapterTitleTitle">
    <w:name w:val="Chapter Title (Title)"/>
    <w:basedOn w:val="a"/>
    <w:next w:val="a"/>
    <w:uiPriority w:val="99"/>
    <w:rsid w:val="001857FC"/>
    <w:pPr>
      <w:keepNext/>
      <w:autoSpaceDE w:val="0"/>
      <w:autoSpaceDN w:val="0"/>
      <w:adjustRightInd w:val="0"/>
      <w:spacing w:after="0" w:line="800" w:lineRule="atLeast"/>
      <w:ind w:left="1134" w:right="1134"/>
      <w:jc w:val="center"/>
      <w:textAlignment w:val="center"/>
    </w:pPr>
    <w:rPr>
      <w:rFonts w:ascii="AlRaiMedia-Black" w:hAnsi="AlRaiMedia-Black" w:cs="AlRaiMedia-Black"/>
      <w:color w:val="000000"/>
      <w:sz w:val="66"/>
      <w:szCs w:val="66"/>
      <w:u w:color="000000"/>
      <w:lang w:bidi="ar-YE"/>
    </w:rPr>
  </w:style>
  <w:style w:type="paragraph" w:styleId="ac">
    <w:name w:val="Normal (Web)"/>
    <w:basedOn w:val="a"/>
    <w:uiPriority w:val="99"/>
    <w:unhideWhenUsed/>
    <w:rsid w:val="001857F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d">
    <w:name w:val="Revision"/>
    <w:hidden/>
    <w:uiPriority w:val="99"/>
    <w:semiHidden/>
    <w:rsid w:val="001857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837</Words>
  <Characters>4775</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dc:creator>
  <cp:lastModifiedBy>ALFA</cp:lastModifiedBy>
  <cp:revision>28</cp:revision>
  <dcterms:created xsi:type="dcterms:W3CDTF">2022-12-25T15:57:00Z</dcterms:created>
  <dcterms:modified xsi:type="dcterms:W3CDTF">2022-12-25T17:13:00Z</dcterms:modified>
</cp:coreProperties>
</file>