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2E" w:rsidRPr="007A4A67" w:rsidRDefault="0021312E" w:rsidP="0021312E">
      <w:pPr>
        <w:pStyle w:val="BodyBody"/>
        <w:spacing w:line="276" w:lineRule="auto"/>
        <w:jc w:val="center"/>
        <w:rPr>
          <w:rFonts w:asciiTheme="minorBidi" w:hAnsiTheme="minorBidi" w:cstheme="minorBidi"/>
          <w:b/>
          <w:bCs/>
          <w:sz w:val="28"/>
          <w:szCs w:val="28"/>
          <w:rtl/>
        </w:rPr>
      </w:pPr>
      <w:r w:rsidRPr="007A4A67">
        <w:rPr>
          <w:rFonts w:asciiTheme="minorBidi" w:hAnsiTheme="minorBidi" w:cstheme="minorBidi"/>
          <w:b/>
          <w:bCs/>
          <w:sz w:val="28"/>
          <w:szCs w:val="28"/>
          <w:rtl/>
        </w:rPr>
        <w:t>المحاضرة الثانية عشرة</w:t>
      </w:r>
    </w:p>
    <w:p w:rsidR="0021312E" w:rsidRPr="007A4A67" w:rsidRDefault="0021312E" w:rsidP="0021312E">
      <w:pPr>
        <w:pStyle w:val="BranchTitleTitle"/>
        <w:spacing w:line="276" w:lineRule="auto"/>
        <w:ind w:left="0"/>
        <w:jc w:val="left"/>
        <w:rPr>
          <w:rFonts w:asciiTheme="minorBidi" w:hAnsiTheme="minorBidi" w:cstheme="minorBidi"/>
          <w:b/>
          <w:bCs/>
          <w:rtl/>
        </w:rPr>
      </w:pPr>
      <w:r w:rsidRPr="007A4A67">
        <w:rPr>
          <w:rFonts w:asciiTheme="minorBidi" w:hAnsiTheme="minorBidi" w:cstheme="minorBidi"/>
          <w:b/>
          <w:bCs/>
          <w:rtl/>
        </w:rPr>
        <w:t>تنازع الموطن</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ويحصل التنازع في حالة تعد الموطن او انعدامه، وحل التنازع يختلف بين الوضعين فهناك حلول في حالة تعدد الموطن وحلول في ظل انعدامه واشكالية التنازع في الوضعين وحلولها تصادف القوانين التي أخذت بالتصوير الواقعي في الغالب كما لاحظنا، في حين لا توجد هناك فرص لظهورها في الغالب في ظل القوانين التي أخذت بالتصوير الحكمي للموطن لان التصوير الأخير يفترض ان لكل شخص موطن، وبالتالي لا يمكن ان يتعدد الموطن أو ينعدم، وعليه سنتابع حلول اشكالية التعدد والانعدام على النحو الاتي.</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أولاً: تعدد الموطن</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ويفضي هذا التعدد إلى ظاهرة يصطلح عليها (التنازع الايجابي في الموطن) وتحديد الموطن يختلف في ظل عرض النزاع المتعلق بالشخص متعدد الموطن أمام القضاء الوطني عنه في ظل عرض النزاع المتعلق به أمام قضاء لا علاقة له بالنزاع ففي الوضع الأول تحديد الموطن يكون بحسب قانون قاضي النزاع فإذا اتخذ الشخص في دولة القاضي موطنا فالعبرة به وهو حل يقترب من حل التنازع الايجابي في الجنسية إذا كانت إحدى الجنسيات جنسية قاضي النزاع، اما الحل في الوضع الثاني فيكون باعتماد الموطن القانوني إذا تنازع مع موطن اختياري واعتماد الموطن الذي يقيم فيه الشخص فعلا إذا حصل تنازع ما بين موطنين قانونيين أو اختياريين.</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وقد اوردت آليات تحديد الموطن بعض الاتفاقيات الدولية منها الاتفاقية ما بين فرنسا وبلجيكا لعام 1931 والاتفاقية ما بين فرنسا وايطاليا لعام 1930</w:t>
      </w:r>
      <w:r w:rsidRPr="007A4A67">
        <w:rPr>
          <w:rStyle w:val="NonbreakingspacetrakingFoontnotes"/>
          <w:rFonts w:asciiTheme="minorBidi" w:hAnsiTheme="minorBidi" w:cstheme="minorBidi"/>
          <w:spacing w:val="-75"/>
          <w:rtl/>
        </w:rPr>
        <w:t> </w:t>
      </w:r>
      <w:r w:rsidRPr="007A4A67">
        <w:rPr>
          <w:rStyle w:val="FootnotesReferenceFoontnotes"/>
          <w:rFonts w:asciiTheme="minorBidi" w:hAnsiTheme="minorBidi" w:cstheme="minorBidi"/>
          <w:rtl/>
        </w:rPr>
        <w:t xml:space="preserve"> (</w:t>
      </w:r>
      <w:r w:rsidRPr="007A4A67">
        <w:rPr>
          <w:rStyle w:val="ab"/>
          <w:rFonts w:asciiTheme="minorBidi" w:hAnsiTheme="minorBidi" w:cstheme="minorBidi"/>
          <w:rtl/>
        </w:rPr>
        <w:footnoteReference w:id="1"/>
      </w:r>
      <w:r w:rsidRPr="007A4A67">
        <w:rPr>
          <w:rStyle w:val="FootnotesReferenceFoontnotes"/>
          <w:rFonts w:asciiTheme="minorBidi" w:hAnsiTheme="minorBidi" w:cstheme="minorBidi"/>
          <w:rtl/>
        </w:rPr>
        <w:t xml:space="preserve">) </w:t>
      </w:r>
      <w:r w:rsidRPr="007A4A67">
        <w:rPr>
          <w:rFonts w:asciiTheme="minorBidi" w:hAnsiTheme="minorBidi" w:cstheme="minorBidi"/>
          <w:rtl/>
        </w:rPr>
        <w:t>.</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ثانياً: انعدام الموطن</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إن انعدام الموطن يفضي إلى ظاهرة يصطلح عليها (التنازع السلبي في الموطن) مما يطرح ذلك البحث عن البديل الذي يحل محل الموطن والبديل الامثل هو محل الإقامة وقد أشارت إلى هذا المعنى العديد من التشريعات ومنها القانون المدني الالماني والمصري والاردني. وأشار المشرع العراقي ضمنا إلى هذا المعنى في المادة (33/1) من القانون المدني عندما اراد المشرع بهذا النص معالجة التنازع الايجابي في الجنسيات كما ذكر سابقاً فأورد حكم ترك فيه للقضاء فرصة الاجتهاد وللبحث عن الحلول الافضل والتي يمكن ان تشكل مبادئ للقانون الدولي الخاص الأكثر شيوعا وهذه الفرصة للاجتهاد تدعمها المادة (30) من القانون المدني العراقي وتذهب التشريعات العربية بهذا الاتجاه.</w:t>
      </w:r>
    </w:p>
    <w:p w:rsidR="0021312E" w:rsidRPr="007A4A67" w:rsidRDefault="0021312E" w:rsidP="0021312E">
      <w:pPr>
        <w:pStyle w:val="BranchTitle"/>
        <w:spacing w:line="276" w:lineRule="auto"/>
        <w:rPr>
          <w:rFonts w:asciiTheme="minorBidi" w:hAnsiTheme="minorBidi" w:cstheme="minorBidi"/>
          <w:b/>
          <w:bCs/>
          <w:sz w:val="28"/>
          <w:szCs w:val="28"/>
          <w:rtl/>
        </w:rPr>
      </w:pPr>
      <w:r w:rsidRPr="007A4A67">
        <w:rPr>
          <w:rFonts w:asciiTheme="minorBidi" w:hAnsiTheme="minorBidi" w:cstheme="minorBidi"/>
          <w:b/>
          <w:bCs/>
          <w:sz w:val="28"/>
          <w:szCs w:val="28"/>
          <w:rtl/>
        </w:rPr>
        <w:lastRenderedPageBreak/>
        <w:t>الفرع الثالث</w:t>
      </w:r>
    </w:p>
    <w:p w:rsidR="0021312E" w:rsidRPr="007A4A67" w:rsidRDefault="0021312E" w:rsidP="0021312E">
      <w:pPr>
        <w:pStyle w:val="BranchTitleTitle"/>
        <w:spacing w:line="276" w:lineRule="auto"/>
        <w:rPr>
          <w:rFonts w:asciiTheme="minorBidi" w:hAnsiTheme="minorBidi" w:cstheme="minorBidi"/>
          <w:b/>
          <w:bCs/>
          <w:sz w:val="28"/>
          <w:szCs w:val="28"/>
          <w:rtl/>
        </w:rPr>
      </w:pPr>
      <w:r w:rsidRPr="007A4A67">
        <w:rPr>
          <w:rFonts w:asciiTheme="minorBidi" w:hAnsiTheme="minorBidi" w:cstheme="minorBidi"/>
          <w:b/>
          <w:bCs/>
          <w:sz w:val="28"/>
          <w:szCs w:val="28"/>
          <w:rtl/>
        </w:rPr>
        <w:t>القانون الذي يعين الموطن</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إن ضبط موطن الشخص يحقق المزايا والدور الذي تكلمنا عنه انفا وللوصول إلى هذا الوضع يتطلب معرفة القانون الذي به نصل إلى ضبط الموطن وقد طرح الفقه في هذا السياق جملة اتجاهات هي:</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أولاً: قانون الارادة</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وبحسب هذا الاتجاه فان القانون الذي يتعين به الموطن يكون من صنع ارادة الاطراف فيكون القانون المختار من قبلهم هو المختص بتحديد الموطن، وحتى يصح اختيارهم فلابد من وجود ارادة صحيحة أي غير مشوبة بعيوب الرضا ومنها الاكراه كما يقتضي ان تكون الارادة كاملة أي صادرة من شخص كامل الاهلية فلا يعتد باختيار عديم الاهلية أو ناقصها، ويستوي بعد ذلك ان يكون الاختيار صريح أو ضمني، وهذا يعني ان الاطراف إذا اختاروا قانوناً يأخذ بالتصوير الحكمي أو يأخذ بالتصوير الواقعي فان الموطن يكون بحسب ما يقرره القانون الذي اختارته ارادة الاطراف فيكون الموطن مكان مقر الأعمال إذا كان اختيار مكان يقر بهذا المفهوم والحال ينسحب إذا وقعت ارادة الاطراف على اختيار قانون يقر بمحل الإقامة، وينتقد هذا التوجه من نواح عدة اهمها ان الموطن مثل الجنسية مسالة تتعلق بسيادة الدولة ولا يمكن ان يترك أمر تحديدها لإرادة الأفراد فضلاً عن ذلك ان الارادة ينبغي ان تحكم بالقانون وليس ان تحكم الارادة القانون.</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ثانياً: القانون الشخصي</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ويتحدد هذا القانون على وفق قانون الجنسية في الدول التي تعتمد ضابط الجنسية لتحديد القانون الشخصي وعلى وفق قانون الموطن في الدول التي تعتمد ضابط الموطن لتحديد القانون الشخصي ويؤخذ على هذا الاتجاه ان دول المجموعة الأولى لا تملك حل لتحديد القانون الذي يعين الموطن في ظل انعدام الجنسيات كما لا تملك دول المجموعة الثانية هذا الحل في ظل انعدام الموطن. وهذا يعني أيضا اننا سوف نكون أمام حلقة مفرغة في ظل دول المجموعتين؛ لان تحديد قانون الموطن يتطلب تحديد الموطن إذ إنه يتطلب قانون يتحدد به فسوف لا يمكن تحديده وهي اشكالية تواجه الدول التي تعتمد ضابط الجنسية لان تحديد الموطن سيكون بموجب قانون الجنسية وانعدام الجنسية لا يتوافر حل لتحديد القانون</w:t>
      </w:r>
      <w:r w:rsidRPr="007A4A67">
        <w:rPr>
          <w:rStyle w:val="FootnotesReferenceFoontnotes"/>
          <w:rFonts w:asciiTheme="minorBidi" w:hAnsiTheme="minorBidi" w:cstheme="minorBidi"/>
          <w:rtl/>
        </w:rPr>
        <w:t xml:space="preserve"> (</w:t>
      </w:r>
      <w:r w:rsidRPr="007A4A67">
        <w:rPr>
          <w:rStyle w:val="ab"/>
          <w:rFonts w:asciiTheme="minorBidi" w:hAnsiTheme="minorBidi" w:cstheme="minorBidi"/>
          <w:rtl/>
        </w:rPr>
        <w:footnoteReference w:id="2"/>
      </w:r>
      <w:r w:rsidRPr="007A4A67">
        <w:rPr>
          <w:rStyle w:val="FootnotesReferenceFoontnotes"/>
          <w:rFonts w:asciiTheme="minorBidi" w:hAnsiTheme="minorBidi" w:cstheme="minorBidi"/>
          <w:rtl/>
        </w:rPr>
        <w:t xml:space="preserve">) </w:t>
      </w:r>
      <w:r w:rsidRPr="007A4A67">
        <w:rPr>
          <w:rFonts w:asciiTheme="minorBidi" w:hAnsiTheme="minorBidi" w:cstheme="minorBidi"/>
          <w:rtl/>
        </w:rPr>
        <w:t>.</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ثالثاً: القانون الإقليمي</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 xml:space="preserve">بحسب هذا الاتجاه يصار إلى اعتماد الدولة التي يقيم فيها الشخص أي يتخذ من إقليمها مقاما أو مقراً لأعماله ومن ثَمَّ اعتماد قانونها لتحديد وجود موطنه فالقانون الإقليمي هو أصلح قانون لضبط موطن الشخص بحسب هذا الاتجاه وقد اعتمد هذا التوجه من جانب القانون البريطاني إذ اتخذ من </w:t>
      </w:r>
      <w:r w:rsidRPr="007A4A67">
        <w:rPr>
          <w:rFonts w:asciiTheme="minorBidi" w:hAnsiTheme="minorBidi" w:cstheme="minorBidi"/>
          <w:rtl/>
        </w:rPr>
        <w:lastRenderedPageBreak/>
        <w:t xml:space="preserve">بريطانيا مقرا له </w:t>
      </w:r>
      <w:r w:rsidRPr="007A4A67">
        <w:rPr>
          <w:rStyle w:val="FootnotesReferenceFoontnotes"/>
          <w:rFonts w:asciiTheme="minorBidi" w:hAnsiTheme="minorBidi" w:cstheme="minorBidi"/>
          <w:rtl/>
        </w:rPr>
        <w:t>(</w:t>
      </w:r>
      <w:r w:rsidRPr="007A4A67">
        <w:rPr>
          <w:rStyle w:val="ab"/>
          <w:rFonts w:asciiTheme="minorBidi" w:hAnsiTheme="minorBidi" w:cstheme="minorBidi"/>
          <w:rtl/>
        </w:rPr>
        <w:footnoteReference w:id="3"/>
      </w:r>
      <w:r w:rsidRPr="007A4A67">
        <w:rPr>
          <w:rStyle w:val="FootnotesReferenceFoontnotes"/>
          <w:rFonts w:asciiTheme="minorBidi" w:hAnsiTheme="minorBidi" w:cstheme="minorBidi"/>
          <w:rtl/>
        </w:rPr>
        <w:t xml:space="preserve">) </w:t>
      </w:r>
      <w:r w:rsidRPr="007A4A67">
        <w:rPr>
          <w:rFonts w:asciiTheme="minorBidi" w:hAnsiTheme="minorBidi" w:cstheme="minorBidi"/>
          <w:rtl/>
        </w:rPr>
        <w:t>، ويؤخذ عليه انه يقدم حل لا يصلح في ظل عدم ادعاء الشخص توطينه في اي دولة من دول العالم كما ان هذا الاتجاه يترك بالنتيجة تحديد الموطن للإرادة أيضا ومن ثَمَّ ستعود الانتقادات نفسها في ظل اتجاه اصحاب الارادة.</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رابعاً: قانون قاضي النزاع</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 xml:space="preserve">بحسب هذا الاتجاه ان تحديد الموطن يكون من اختصاص قاضي النزاع بوصف الموطن علاقة قانونية وان تكييفها مسالة تتعلق بالسيادة فهو الذي يحدد معنى الموطن فإذا كان يأخذ بالتصوير الواقعي فيعتد بالموطن في المكان الذي يقيم فيه الشخص وإذا كان يأخذ بالتصوير الحكمي فيعتد بالموطن في المكان الذي يوجد فيه المقر الرئيس لأعمال الشخص ، وقد اعتمد هذا التوجه القانون الأمريكي </w:t>
      </w:r>
      <w:r w:rsidRPr="007A4A67">
        <w:rPr>
          <w:rStyle w:val="FootnotesReferenceFoontnotes"/>
          <w:rFonts w:asciiTheme="minorBidi" w:hAnsiTheme="minorBidi" w:cstheme="minorBidi"/>
          <w:rtl/>
        </w:rPr>
        <w:t>(</w:t>
      </w:r>
      <w:r w:rsidRPr="007A4A67">
        <w:rPr>
          <w:rStyle w:val="ab"/>
          <w:rFonts w:asciiTheme="minorBidi" w:hAnsiTheme="minorBidi" w:cstheme="minorBidi"/>
          <w:rtl/>
        </w:rPr>
        <w:footnoteReference w:id="4"/>
      </w:r>
      <w:r w:rsidRPr="007A4A67">
        <w:rPr>
          <w:rStyle w:val="FootnotesReferenceFoontnotes"/>
          <w:rFonts w:asciiTheme="minorBidi" w:hAnsiTheme="minorBidi" w:cstheme="minorBidi"/>
          <w:rtl/>
        </w:rPr>
        <w:t xml:space="preserve">) </w:t>
      </w:r>
      <w:r w:rsidRPr="007A4A67">
        <w:rPr>
          <w:rFonts w:asciiTheme="minorBidi" w:hAnsiTheme="minorBidi" w:cstheme="minorBidi"/>
          <w:rtl/>
        </w:rPr>
        <w:t>، ويؤخذ على هذا الراي انه يفترض للشخص موطنا قد لا يعكس وضعه الواقعي فهو يستوطن فعلا في دولة بينما قانون قاضي النزاع يفترض موطنه في دولة أخرى وقد لا يفترض له ذلك، مما سيترتب على ذلك اما انعدام الموطن (التنازع السلبي في الموطن) واما تعدد الموطن (التنازع الايجابي في الموطن)، وهو حل يقود إلى إشكاليات اعقد من مشكلة تحديد القانون والمشكلة لا تزال بمثلها.</w:t>
      </w:r>
    </w:p>
    <w:p w:rsidR="0021312E" w:rsidRPr="007A4A67" w:rsidRDefault="0021312E" w:rsidP="0021312E">
      <w:pPr>
        <w:pStyle w:val="WordListingListing"/>
        <w:spacing w:line="276" w:lineRule="auto"/>
        <w:rPr>
          <w:rFonts w:asciiTheme="minorBidi" w:hAnsiTheme="minorBidi" w:cstheme="minorBidi"/>
          <w:rtl/>
        </w:rPr>
      </w:pPr>
      <w:r w:rsidRPr="007A4A67">
        <w:rPr>
          <w:rStyle w:val="BoldBody"/>
          <w:rFonts w:asciiTheme="minorBidi" w:hAnsiTheme="minorBidi" w:cstheme="minorBidi"/>
          <w:rtl/>
        </w:rPr>
        <w:t>خامساً: الاتجاه التوفيقي</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وهو يجمع ما بين الاتجاهين الثالث والرابع اي اعتماد القانون الإقليمي وقانون قاضي النزاع لتعيين الموطن فقاضي النزاع يعتمد قانونه في ظل توطن الشخص في دولة القاضي وإذا لم يوجد موطنا له فيه فيصار إلى اعتماد قانون الدولة التي يتوطن فيها الشخص فعلاً اي القانون الإقليمي أي أن هذا الاتجاه يطبق قانونيين على سبيل التدرج ففي ظل وجود موطن الشخص في دولة قاضي النزاع فيعتمد قانون الأخير، وفي ظل انعدامه يصار إلى اعتماد البديل عنه وهو القانون الإقليمي للدولة التي يتوطن فيها الشخص بحسب الظروف التي تكتسب من هذا التوطن.</w:t>
      </w:r>
    </w:p>
    <w:p w:rsidR="0021312E" w:rsidRPr="007A4A67" w:rsidRDefault="0021312E" w:rsidP="0021312E">
      <w:pPr>
        <w:pStyle w:val="BodyBody"/>
        <w:spacing w:line="276" w:lineRule="auto"/>
        <w:rPr>
          <w:rFonts w:asciiTheme="minorBidi" w:hAnsiTheme="minorBidi" w:cstheme="minorBidi"/>
          <w:rtl/>
        </w:rPr>
      </w:pPr>
      <w:r w:rsidRPr="007A4A67">
        <w:rPr>
          <w:rFonts w:asciiTheme="minorBidi" w:hAnsiTheme="minorBidi" w:cstheme="minorBidi"/>
          <w:rtl/>
        </w:rPr>
        <w:t>ويعد هذا الاتجاه افضل الاتجاهات المتقدمة لأنه يوفق ما بين منفعة الشخص باحترام ارادته وما بين منفعة الدولة باحترام ارادتها في تقرير مصير موطنه في ظل عدم توطنه في دولة قاضي النزاع.</w:t>
      </w:r>
    </w:p>
    <w:p w:rsidR="00E13FE3" w:rsidRPr="0021312E" w:rsidRDefault="00E13FE3" w:rsidP="0021312E">
      <w:pPr>
        <w:rPr>
          <w:lang w:bidi="ar-YE"/>
        </w:rPr>
      </w:pPr>
      <w:bookmarkStart w:id="0" w:name="_GoBack"/>
      <w:bookmarkEnd w:id="0"/>
    </w:p>
    <w:sectPr w:rsidR="00E13FE3" w:rsidRPr="002131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1A" w:rsidRDefault="00985D1A" w:rsidP="001857FC">
      <w:pPr>
        <w:spacing w:after="0" w:line="240" w:lineRule="auto"/>
      </w:pPr>
      <w:r>
        <w:separator/>
      </w:r>
    </w:p>
  </w:endnote>
  <w:endnote w:type="continuationSeparator" w:id="0">
    <w:p w:rsidR="00985D1A" w:rsidRDefault="00985D1A" w:rsidP="0018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نسخ Medium">
    <w:panose1 w:val="00000000000000000000"/>
    <w:charset w:val="00"/>
    <w:family w:val="modern"/>
    <w:notTrueType/>
    <w:pitch w:val="variable"/>
    <w:sig w:usb0="00002003" w:usb1="00000000" w:usb2="00000000" w:usb3="00000000" w:csb0="00000041" w:csb1="00000000"/>
  </w:font>
  <w:font w:name="Al-QuranAlKareem">
    <w:altName w:val="Times New Roman"/>
    <w:charset w:val="00"/>
    <w:family w:val="auto"/>
    <w:pitch w:val="variable"/>
    <w:sig w:usb0="00000000" w:usb1="80000000" w:usb2="00000008" w:usb3="00000000" w:csb0="00000043" w:csb1="00000000"/>
  </w:font>
  <w:font w:name="AlRaiMedia-Black">
    <w:panose1 w:val="00000000000000000000"/>
    <w:charset w:val="00"/>
    <w:family w:val="swiss"/>
    <w:notTrueType/>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1A" w:rsidRDefault="00985D1A" w:rsidP="001857FC">
      <w:pPr>
        <w:spacing w:after="0" w:line="240" w:lineRule="auto"/>
      </w:pPr>
      <w:r>
        <w:separator/>
      </w:r>
    </w:p>
  </w:footnote>
  <w:footnote w:type="continuationSeparator" w:id="0">
    <w:p w:rsidR="00985D1A" w:rsidRDefault="00985D1A" w:rsidP="001857FC">
      <w:pPr>
        <w:spacing w:after="0" w:line="240" w:lineRule="auto"/>
      </w:pPr>
      <w:r>
        <w:continuationSeparator/>
      </w:r>
    </w:p>
  </w:footnote>
  <w:footnote w:id="1">
    <w:p w:rsidR="0021312E" w:rsidRPr="002656F2" w:rsidRDefault="0021312E" w:rsidP="0021312E">
      <w:pPr>
        <w:pStyle w:val="aa"/>
        <w:jc w:val="both"/>
        <w:rPr>
          <w:sz w:val="24"/>
          <w:szCs w:val="24"/>
          <w:rtl/>
        </w:rPr>
      </w:pPr>
      <w:r w:rsidRPr="002656F2">
        <w:rPr>
          <w:rFonts w:hint="cs"/>
          <w:sz w:val="24"/>
          <w:szCs w:val="24"/>
          <w:rtl/>
        </w:rPr>
        <w:t>(</w:t>
      </w:r>
      <w:r w:rsidRPr="002656F2">
        <w:rPr>
          <w:rStyle w:val="ab"/>
          <w:sz w:val="24"/>
          <w:szCs w:val="24"/>
        </w:rPr>
        <w:footnoteRef/>
      </w:r>
      <w:r w:rsidRPr="002656F2">
        <w:rPr>
          <w:rFonts w:hint="cs"/>
          <w:sz w:val="24"/>
          <w:szCs w:val="24"/>
          <w:rtl/>
        </w:rPr>
        <w:t xml:space="preserve">) </w:t>
      </w:r>
      <w:r w:rsidRPr="002656F2">
        <w:rPr>
          <w:rFonts w:cs="Arial" w:hint="cs"/>
          <w:sz w:val="24"/>
          <w:szCs w:val="24"/>
          <w:rtl/>
        </w:rPr>
        <w:t>د</w:t>
      </w:r>
      <w:r w:rsidRPr="002656F2">
        <w:rPr>
          <w:rFonts w:cs="Arial"/>
          <w:sz w:val="24"/>
          <w:szCs w:val="24"/>
          <w:rtl/>
        </w:rPr>
        <w:t xml:space="preserve">. </w:t>
      </w:r>
      <w:r w:rsidRPr="002656F2">
        <w:rPr>
          <w:rFonts w:cs="Arial" w:hint="cs"/>
          <w:sz w:val="24"/>
          <w:szCs w:val="24"/>
          <w:rtl/>
        </w:rPr>
        <w:t>حسن</w:t>
      </w:r>
      <w:r w:rsidRPr="002656F2">
        <w:rPr>
          <w:rFonts w:cs="Arial"/>
          <w:sz w:val="24"/>
          <w:szCs w:val="24"/>
          <w:rtl/>
        </w:rPr>
        <w:t xml:space="preserve"> </w:t>
      </w:r>
      <w:r w:rsidRPr="002656F2">
        <w:rPr>
          <w:rFonts w:cs="Arial" w:hint="cs"/>
          <w:sz w:val="24"/>
          <w:szCs w:val="24"/>
          <w:rtl/>
        </w:rPr>
        <w:t>الهداوي</w:t>
      </w:r>
      <w:r w:rsidRPr="002656F2">
        <w:rPr>
          <w:rFonts w:cs="Arial"/>
          <w:sz w:val="24"/>
          <w:szCs w:val="24"/>
          <w:rtl/>
        </w:rPr>
        <w:t xml:space="preserve"> </w:t>
      </w:r>
      <w:r w:rsidRPr="002656F2">
        <w:rPr>
          <w:rFonts w:cs="Arial" w:hint="cs"/>
          <w:sz w:val="24"/>
          <w:szCs w:val="24"/>
          <w:rtl/>
        </w:rPr>
        <w:t>ود</w:t>
      </w:r>
      <w:r w:rsidRPr="002656F2">
        <w:rPr>
          <w:rFonts w:cs="Arial"/>
          <w:sz w:val="24"/>
          <w:szCs w:val="24"/>
          <w:rtl/>
        </w:rPr>
        <w:t xml:space="preserve">. </w:t>
      </w:r>
      <w:r w:rsidRPr="002656F2">
        <w:rPr>
          <w:rFonts w:cs="Arial" w:hint="cs"/>
          <w:sz w:val="24"/>
          <w:szCs w:val="24"/>
          <w:rtl/>
        </w:rPr>
        <w:t>غالب</w:t>
      </w:r>
      <w:r w:rsidRPr="002656F2">
        <w:rPr>
          <w:rFonts w:cs="Arial"/>
          <w:sz w:val="24"/>
          <w:szCs w:val="24"/>
          <w:rtl/>
        </w:rPr>
        <w:t xml:space="preserve"> </w:t>
      </w:r>
      <w:r w:rsidRPr="002656F2">
        <w:rPr>
          <w:rFonts w:cs="Arial" w:hint="cs"/>
          <w:sz w:val="24"/>
          <w:szCs w:val="24"/>
          <w:rtl/>
        </w:rPr>
        <w:t>الداودي</w:t>
      </w:r>
      <w:r w:rsidRPr="002656F2">
        <w:rPr>
          <w:rFonts w:cs="Arial"/>
          <w:sz w:val="24"/>
          <w:szCs w:val="24"/>
          <w:rtl/>
        </w:rPr>
        <w:t xml:space="preserve"> – </w:t>
      </w:r>
      <w:r w:rsidRPr="002656F2">
        <w:rPr>
          <w:rFonts w:cs="Arial" w:hint="cs"/>
          <w:sz w:val="24"/>
          <w:szCs w:val="24"/>
          <w:rtl/>
        </w:rPr>
        <w:t>القانون</w:t>
      </w:r>
      <w:r w:rsidRPr="002656F2">
        <w:rPr>
          <w:rFonts w:cs="Arial"/>
          <w:sz w:val="24"/>
          <w:szCs w:val="24"/>
          <w:rtl/>
        </w:rPr>
        <w:t xml:space="preserve"> </w:t>
      </w:r>
      <w:r w:rsidRPr="002656F2">
        <w:rPr>
          <w:rFonts w:cs="Arial" w:hint="cs"/>
          <w:sz w:val="24"/>
          <w:szCs w:val="24"/>
          <w:rtl/>
        </w:rPr>
        <w:t>الدولي</w:t>
      </w:r>
      <w:r w:rsidRPr="002656F2">
        <w:rPr>
          <w:rFonts w:cs="Arial"/>
          <w:sz w:val="24"/>
          <w:szCs w:val="24"/>
          <w:rtl/>
        </w:rPr>
        <w:t xml:space="preserve"> </w:t>
      </w:r>
      <w:r w:rsidRPr="002656F2">
        <w:rPr>
          <w:rFonts w:cs="Arial" w:hint="cs"/>
          <w:sz w:val="24"/>
          <w:szCs w:val="24"/>
          <w:rtl/>
        </w:rPr>
        <w:t>الخاص</w:t>
      </w:r>
      <w:r w:rsidRPr="002656F2">
        <w:rPr>
          <w:rFonts w:cs="Arial"/>
          <w:sz w:val="24"/>
          <w:szCs w:val="24"/>
          <w:rtl/>
        </w:rPr>
        <w:t xml:space="preserve"> – </w:t>
      </w:r>
      <w:r w:rsidRPr="002656F2">
        <w:rPr>
          <w:rFonts w:cs="Arial" w:hint="cs"/>
          <w:sz w:val="24"/>
          <w:szCs w:val="24"/>
          <w:rtl/>
        </w:rPr>
        <w:t>الجنسية</w:t>
      </w:r>
      <w:r w:rsidRPr="002656F2">
        <w:rPr>
          <w:rFonts w:cs="Arial"/>
          <w:sz w:val="24"/>
          <w:szCs w:val="24"/>
          <w:rtl/>
        </w:rPr>
        <w:t xml:space="preserve"> </w:t>
      </w:r>
      <w:r w:rsidRPr="002656F2">
        <w:rPr>
          <w:rFonts w:cs="Arial" w:hint="cs"/>
          <w:sz w:val="24"/>
          <w:szCs w:val="24"/>
          <w:rtl/>
        </w:rPr>
        <w:t>الموطن</w:t>
      </w:r>
      <w:r w:rsidRPr="002656F2">
        <w:rPr>
          <w:rFonts w:cs="Arial"/>
          <w:sz w:val="24"/>
          <w:szCs w:val="24"/>
          <w:rtl/>
        </w:rPr>
        <w:t xml:space="preserve"> </w:t>
      </w:r>
      <w:r w:rsidRPr="002656F2">
        <w:rPr>
          <w:rFonts w:cs="Arial" w:hint="cs"/>
          <w:sz w:val="24"/>
          <w:szCs w:val="24"/>
          <w:rtl/>
        </w:rPr>
        <w:t>مركز</w:t>
      </w:r>
      <w:r w:rsidRPr="002656F2">
        <w:rPr>
          <w:rFonts w:cs="Arial"/>
          <w:sz w:val="24"/>
          <w:szCs w:val="24"/>
          <w:rtl/>
        </w:rPr>
        <w:t xml:space="preserve"> </w:t>
      </w:r>
      <w:r w:rsidRPr="002656F2">
        <w:rPr>
          <w:rFonts w:cs="Arial" w:hint="cs"/>
          <w:sz w:val="24"/>
          <w:szCs w:val="24"/>
          <w:rtl/>
        </w:rPr>
        <w:t>الأجانب</w:t>
      </w:r>
      <w:r w:rsidRPr="002656F2">
        <w:rPr>
          <w:rFonts w:cs="Arial"/>
          <w:sz w:val="24"/>
          <w:szCs w:val="24"/>
          <w:rtl/>
        </w:rPr>
        <w:t xml:space="preserve"> – </w:t>
      </w:r>
      <w:r w:rsidRPr="002656F2">
        <w:rPr>
          <w:rFonts w:cs="Arial" w:hint="cs"/>
          <w:sz w:val="24"/>
          <w:szCs w:val="24"/>
          <w:rtl/>
        </w:rPr>
        <w:t>المصدر</w:t>
      </w:r>
      <w:r w:rsidRPr="002656F2">
        <w:rPr>
          <w:rFonts w:cs="Arial"/>
          <w:sz w:val="24"/>
          <w:szCs w:val="24"/>
          <w:rtl/>
        </w:rPr>
        <w:t xml:space="preserve"> </w:t>
      </w:r>
      <w:r w:rsidRPr="002656F2">
        <w:rPr>
          <w:rFonts w:cs="Arial" w:hint="cs"/>
          <w:sz w:val="24"/>
          <w:szCs w:val="24"/>
          <w:rtl/>
        </w:rPr>
        <w:t>السابق</w:t>
      </w:r>
      <w:r w:rsidRPr="002656F2">
        <w:rPr>
          <w:rFonts w:cs="Arial"/>
          <w:sz w:val="24"/>
          <w:szCs w:val="24"/>
          <w:rtl/>
        </w:rPr>
        <w:t xml:space="preserve"> – </w:t>
      </w:r>
      <w:r w:rsidRPr="002656F2">
        <w:rPr>
          <w:rFonts w:cs="Arial" w:hint="cs"/>
          <w:sz w:val="24"/>
          <w:szCs w:val="24"/>
          <w:rtl/>
        </w:rPr>
        <w:t>ص</w:t>
      </w:r>
      <w:r w:rsidRPr="002656F2">
        <w:rPr>
          <w:rFonts w:cs="Arial"/>
          <w:sz w:val="24"/>
          <w:szCs w:val="24"/>
          <w:rtl/>
        </w:rPr>
        <w:t>229.</w:t>
      </w:r>
    </w:p>
  </w:footnote>
  <w:footnote w:id="2">
    <w:p w:rsidR="0021312E" w:rsidRPr="002B51E1" w:rsidRDefault="0021312E" w:rsidP="0021312E">
      <w:pPr>
        <w:pStyle w:val="aa"/>
        <w:rPr>
          <w:sz w:val="24"/>
          <w:szCs w:val="24"/>
          <w:rtl/>
          <w:lang w:bidi="ar-IQ"/>
        </w:rPr>
      </w:pPr>
      <w:r w:rsidRPr="002B51E1">
        <w:rPr>
          <w:rFonts w:hint="cs"/>
          <w:sz w:val="24"/>
          <w:szCs w:val="24"/>
          <w:rtl/>
        </w:rPr>
        <w:t>(</w:t>
      </w:r>
      <w:r w:rsidRPr="002B51E1">
        <w:rPr>
          <w:rStyle w:val="ab"/>
          <w:sz w:val="24"/>
          <w:szCs w:val="24"/>
        </w:rPr>
        <w:footnoteRef/>
      </w:r>
      <w:r w:rsidRPr="002B51E1">
        <w:rPr>
          <w:rFonts w:hint="cs"/>
          <w:sz w:val="24"/>
          <w:szCs w:val="24"/>
          <w:rtl/>
        </w:rPr>
        <w:t>)</w:t>
      </w:r>
      <w:r>
        <w:rPr>
          <w:rFonts w:cs="Arial" w:hint="cs"/>
          <w:sz w:val="24"/>
          <w:szCs w:val="24"/>
          <w:rtl/>
          <w:lang w:bidi="ar-IQ"/>
        </w:rPr>
        <w:t xml:space="preserve"> </w:t>
      </w:r>
      <w:r w:rsidRPr="002B51E1">
        <w:rPr>
          <w:rFonts w:cs="Arial" w:hint="cs"/>
          <w:sz w:val="24"/>
          <w:szCs w:val="24"/>
          <w:rtl/>
          <w:lang w:bidi="ar-IQ"/>
        </w:rPr>
        <w:t>د</w:t>
      </w:r>
      <w:r w:rsidRPr="002B51E1">
        <w:rPr>
          <w:rFonts w:cs="Arial"/>
          <w:sz w:val="24"/>
          <w:szCs w:val="24"/>
          <w:rtl/>
          <w:lang w:bidi="ar-IQ"/>
        </w:rPr>
        <w:t xml:space="preserve">. </w:t>
      </w:r>
      <w:r w:rsidRPr="002B51E1">
        <w:rPr>
          <w:rFonts w:cs="Arial" w:hint="cs"/>
          <w:sz w:val="24"/>
          <w:szCs w:val="24"/>
          <w:rtl/>
          <w:lang w:bidi="ar-IQ"/>
        </w:rPr>
        <w:t>حسن</w:t>
      </w:r>
      <w:r w:rsidRPr="002B51E1">
        <w:rPr>
          <w:rFonts w:cs="Arial"/>
          <w:sz w:val="24"/>
          <w:szCs w:val="24"/>
          <w:rtl/>
          <w:lang w:bidi="ar-IQ"/>
        </w:rPr>
        <w:t xml:space="preserve"> </w:t>
      </w:r>
      <w:r w:rsidRPr="002B51E1">
        <w:rPr>
          <w:rFonts w:cs="Arial" w:hint="cs"/>
          <w:sz w:val="24"/>
          <w:szCs w:val="24"/>
          <w:rtl/>
          <w:lang w:bidi="ar-IQ"/>
        </w:rPr>
        <w:t>الهداوي</w:t>
      </w:r>
      <w:r w:rsidRPr="002B51E1">
        <w:rPr>
          <w:rFonts w:cs="Arial"/>
          <w:sz w:val="24"/>
          <w:szCs w:val="24"/>
          <w:rtl/>
          <w:lang w:bidi="ar-IQ"/>
        </w:rPr>
        <w:t xml:space="preserve"> </w:t>
      </w:r>
      <w:r w:rsidRPr="002B51E1">
        <w:rPr>
          <w:rFonts w:cs="Arial" w:hint="cs"/>
          <w:sz w:val="24"/>
          <w:szCs w:val="24"/>
          <w:rtl/>
          <w:lang w:bidi="ar-IQ"/>
        </w:rPr>
        <w:t>ود</w:t>
      </w:r>
      <w:r w:rsidRPr="002B51E1">
        <w:rPr>
          <w:rFonts w:cs="Arial"/>
          <w:sz w:val="24"/>
          <w:szCs w:val="24"/>
          <w:rtl/>
          <w:lang w:bidi="ar-IQ"/>
        </w:rPr>
        <w:t xml:space="preserve">. </w:t>
      </w:r>
      <w:r w:rsidRPr="002B51E1">
        <w:rPr>
          <w:rFonts w:cs="Arial" w:hint="cs"/>
          <w:sz w:val="24"/>
          <w:szCs w:val="24"/>
          <w:rtl/>
          <w:lang w:bidi="ar-IQ"/>
        </w:rPr>
        <w:t>غالب</w:t>
      </w:r>
      <w:r w:rsidRPr="002B51E1">
        <w:rPr>
          <w:rFonts w:cs="Arial"/>
          <w:sz w:val="24"/>
          <w:szCs w:val="24"/>
          <w:rtl/>
          <w:lang w:bidi="ar-IQ"/>
        </w:rPr>
        <w:t xml:space="preserve"> </w:t>
      </w:r>
      <w:r w:rsidRPr="002B51E1">
        <w:rPr>
          <w:rFonts w:cs="Arial" w:hint="cs"/>
          <w:sz w:val="24"/>
          <w:szCs w:val="24"/>
          <w:rtl/>
          <w:lang w:bidi="ar-IQ"/>
        </w:rPr>
        <w:t>الداودي</w:t>
      </w:r>
      <w:r w:rsidRPr="002B51E1">
        <w:rPr>
          <w:rFonts w:cs="Arial"/>
          <w:sz w:val="24"/>
          <w:szCs w:val="24"/>
          <w:rtl/>
          <w:lang w:bidi="ar-IQ"/>
        </w:rPr>
        <w:t xml:space="preserve"> – </w:t>
      </w:r>
      <w:r w:rsidRPr="002B51E1">
        <w:rPr>
          <w:rFonts w:cs="Arial" w:hint="cs"/>
          <w:sz w:val="24"/>
          <w:szCs w:val="24"/>
          <w:rtl/>
          <w:lang w:bidi="ar-IQ"/>
        </w:rPr>
        <w:t>مصدر</w:t>
      </w:r>
      <w:r w:rsidRPr="002B51E1">
        <w:rPr>
          <w:rFonts w:cs="Arial"/>
          <w:sz w:val="24"/>
          <w:szCs w:val="24"/>
          <w:rtl/>
          <w:lang w:bidi="ar-IQ"/>
        </w:rPr>
        <w:t xml:space="preserve"> </w:t>
      </w:r>
      <w:r w:rsidRPr="002B51E1">
        <w:rPr>
          <w:rFonts w:cs="Arial" w:hint="cs"/>
          <w:sz w:val="24"/>
          <w:szCs w:val="24"/>
          <w:rtl/>
          <w:lang w:bidi="ar-IQ"/>
        </w:rPr>
        <w:t>سابق</w:t>
      </w:r>
      <w:r w:rsidRPr="002B51E1">
        <w:rPr>
          <w:rFonts w:cs="Arial"/>
          <w:sz w:val="24"/>
          <w:szCs w:val="24"/>
          <w:rtl/>
          <w:lang w:bidi="ar-IQ"/>
        </w:rPr>
        <w:t xml:space="preserve"> – </w:t>
      </w:r>
      <w:r w:rsidRPr="002B51E1">
        <w:rPr>
          <w:rFonts w:cs="Arial" w:hint="cs"/>
          <w:sz w:val="24"/>
          <w:szCs w:val="24"/>
          <w:rtl/>
          <w:lang w:bidi="ar-IQ"/>
        </w:rPr>
        <w:t>ص</w:t>
      </w:r>
      <w:r w:rsidRPr="002B51E1">
        <w:rPr>
          <w:rFonts w:cs="Arial"/>
          <w:sz w:val="24"/>
          <w:szCs w:val="24"/>
          <w:rtl/>
          <w:lang w:bidi="ar-IQ"/>
        </w:rPr>
        <w:t>211 – 212.</w:t>
      </w:r>
    </w:p>
  </w:footnote>
  <w:footnote w:id="3">
    <w:p w:rsidR="0021312E" w:rsidRPr="002B51E1" w:rsidRDefault="0021312E" w:rsidP="0021312E">
      <w:pPr>
        <w:pStyle w:val="aa"/>
        <w:jc w:val="both"/>
        <w:rPr>
          <w:sz w:val="24"/>
          <w:szCs w:val="24"/>
          <w:rtl/>
        </w:rPr>
      </w:pPr>
      <w:r w:rsidRPr="002B51E1">
        <w:rPr>
          <w:rFonts w:hint="cs"/>
          <w:sz w:val="24"/>
          <w:szCs w:val="24"/>
          <w:rtl/>
        </w:rPr>
        <w:t>(</w:t>
      </w:r>
      <w:r w:rsidRPr="002B51E1">
        <w:rPr>
          <w:rStyle w:val="ab"/>
          <w:sz w:val="24"/>
          <w:szCs w:val="24"/>
        </w:rPr>
        <w:footnoteRef/>
      </w:r>
      <w:r w:rsidRPr="002B51E1">
        <w:rPr>
          <w:rFonts w:hint="cs"/>
          <w:sz w:val="24"/>
          <w:szCs w:val="24"/>
          <w:rtl/>
        </w:rPr>
        <w:t>)</w:t>
      </w:r>
      <w:r w:rsidRPr="002B51E1">
        <w:rPr>
          <w:rFonts w:cs="Arial" w:hint="cs"/>
          <w:sz w:val="24"/>
          <w:szCs w:val="24"/>
          <w:rtl/>
        </w:rPr>
        <w:t xml:space="preserve"> د</w:t>
      </w:r>
      <w:r w:rsidRPr="002B51E1">
        <w:rPr>
          <w:rFonts w:cs="Arial"/>
          <w:sz w:val="24"/>
          <w:szCs w:val="24"/>
          <w:rtl/>
        </w:rPr>
        <w:t xml:space="preserve">. </w:t>
      </w:r>
      <w:r w:rsidRPr="002B51E1">
        <w:rPr>
          <w:rFonts w:cs="Arial" w:hint="cs"/>
          <w:sz w:val="24"/>
          <w:szCs w:val="24"/>
          <w:rtl/>
        </w:rPr>
        <w:t>عز</w:t>
      </w:r>
      <w:r w:rsidRPr="002B51E1">
        <w:rPr>
          <w:rFonts w:cs="Arial"/>
          <w:sz w:val="24"/>
          <w:szCs w:val="24"/>
          <w:rtl/>
        </w:rPr>
        <w:t xml:space="preserve"> </w:t>
      </w:r>
      <w:r w:rsidRPr="002B51E1">
        <w:rPr>
          <w:rFonts w:cs="Arial" w:hint="cs"/>
          <w:sz w:val="24"/>
          <w:szCs w:val="24"/>
          <w:rtl/>
        </w:rPr>
        <w:t>الدين</w:t>
      </w:r>
      <w:r w:rsidRPr="002B51E1">
        <w:rPr>
          <w:rFonts w:cs="Arial"/>
          <w:sz w:val="24"/>
          <w:szCs w:val="24"/>
          <w:rtl/>
        </w:rPr>
        <w:t xml:space="preserve"> </w:t>
      </w:r>
      <w:r w:rsidRPr="002B51E1">
        <w:rPr>
          <w:rFonts w:cs="Arial" w:hint="cs"/>
          <w:sz w:val="24"/>
          <w:szCs w:val="24"/>
          <w:rtl/>
        </w:rPr>
        <w:t>عبد</w:t>
      </w:r>
      <w:r w:rsidRPr="002B51E1">
        <w:rPr>
          <w:rFonts w:cs="Arial"/>
          <w:sz w:val="24"/>
          <w:szCs w:val="24"/>
          <w:rtl/>
        </w:rPr>
        <w:t xml:space="preserve"> </w:t>
      </w:r>
      <w:r w:rsidRPr="002B51E1">
        <w:rPr>
          <w:rFonts w:cs="Arial" w:hint="cs"/>
          <w:sz w:val="24"/>
          <w:szCs w:val="24"/>
          <w:rtl/>
        </w:rPr>
        <w:t>الله</w:t>
      </w:r>
      <w:r w:rsidRPr="002B51E1">
        <w:rPr>
          <w:rFonts w:cs="Arial"/>
          <w:sz w:val="24"/>
          <w:szCs w:val="24"/>
          <w:rtl/>
        </w:rPr>
        <w:t xml:space="preserve"> </w:t>
      </w:r>
      <w:r w:rsidRPr="002B51E1">
        <w:rPr>
          <w:rFonts w:cs="Arial" w:hint="cs"/>
          <w:sz w:val="24"/>
          <w:szCs w:val="24"/>
          <w:rtl/>
        </w:rPr>
        <w:t>القانون</w:t>
      </w:r>
      <w:r w:rsidRPr="002B51E1">
        <w:rPr>
          <w:rFonts w:cs="Arial"/>
          <w:sz w:val="24"/>
          <w:szCs w:val="24"/>
          <w:rtl/>
        </w:rPr>
        <w:t xml:space="preserve"> </w:t>
      </w:r>
      <w:r w:rsidRPr="002B51E1">
        <w:rPr>
          <w:rFonts w:cs="Arial" w:hint="cs"/>
          <w:sz w:val="24"/>
          <w:szCs w:val="24"/>
          <w:rtl/>
        </w:rPr>
        <w:t>الدولي</w:t>
      </w:r>
      <w:r w:rsidRPr="002B51E1">
        <w:rPr>
          <w:rFonts w:cs="Arial"/>
          <w:sz w:val="24"/>
          <w:szCs w:val="24"/>
          <w:rtl/>
        </w:rPr>
        <w:t xml:space="preserve"> </w:t>
      </w:r>
      <w:r w:rsidRPr="002B51E1">
        <w:rPr>
          <w:rFonts w:cs="Arial" w:hint="cs"/>
          <w:sz w:val="24"/>
          <w:szCs w:val="24"/>
          <w:rtl/>
        </w:rPr>
        <w:t>الخاص</w:t>
      </w:r>
      <w:r w:rsidRPr="002B51E1">
        <w:rPr>
          <w:rFonts w:cs="Arial"/>
          <w:sz w:val="24"/>
          <w:szCs w:val="24"/>
          <w:rtl/>
        </w:rPr>
        <w:t xml:space="preserve"> </w:t>
      </w:r>
      <w:r w:rsidRPr="002B51E1">
        <w:rPr>
          <w:rFonts w:cs="Arial" w:hint="cs"/>
          <w:sz w:val="24"/>
          <w:szCs w:val="24"/>
          <w:rtl/>
        </w:rPr>
        <w:t>المصري</w:t>
      </w:r>
      <w:r w:rsidRPr="002B51E1">
        <w:rPr>
          <w:rFonts w:cs="Arial"/>
          <w:sz w:val="24"/>
          <w:szCs w:val="24"/>
          <w:rtl/>
        </w:rPr>
        <w:t xml:space="preserve"> – </w:t>
      </w:r>
      <w:r w:rsidRPr="002B51E1">
        <w:rPr>
          <w:rFonts w:cs="Arial" w:hint="cs"/>
          <w:sz w:val="24"/>
          <w:szCs w:val="24"/>
          <w:rtl/>
        </w:rPr>
        <w:t>الجزء</w:t>
      </w:r>
      <w:r w:rsidRPr="002B51E1">
        <w:rPr>
          <w:rFonts w:cs="Arial"/>
          <w:sz w:val="24"/>
          <w:szCs w:val="24"/>
          <w:rtl/>
        </w:rPr>
        <w:t xml:space="preserve"> </w:t>
      </w:r>
      <w:r w:rsidRPr="002B51E1">
        <w:rPr>
          <w:rFonts w:cs="Arial" w:hint="cs"/>
          <w:sz w:val="24"/>
          <w:szCs w:val="24"/>
          <w:rtl/>
        </w:rPr>
        <w:t>الأول</w:t>
      </w:r>
      <w:r w:rsidRPr="002B51E1">
        <w:rPr>
          <w:rFonts w:cs="Arial"/>
          <w:sz w:val="24"/>
          <w:szCs w:val="24"/>
          <w:rtl/>
        </w:rPr>
        <w:t xml:space="preserve"> – (</w:t>
      </w:r>
      <w:r w:rsidRPr="002B51E1">
        <w:rPr>
          <w:rFonts w:cs="Arial" w:hint="cs"/>
          <w:sz w:val="24"/>
          <w:szCs w:val="24"/>
          <w:rtl/>
        </w:rPr>
        <w:t>الجنسية</w:t>
      </w:r>
      <w:r w:rsidRPr="002B51E1">
        <w:rPr>
          <w:rFonts w:cs="Arial"/>
          <w:sz w:val="24"/>
          <w:szCs w:val="24"/>
          <w:rtl/>
        </w:rPr>
        <w:t xml:space="preserve"> </w:t>
      </w:r>
      <w:r w:rsidRPr="002B51E1">
        <w:rPr>
          <w:rFonts w:cs="Arial" w:hint="cs"/>
          <w:sz w:val="24"/>
          <w:szCs w:val="24"/>
          <w:rtl/>
        </w:rPr>
        <w:t>الموطن</w:t>
      </w:r>
      <w:r w:rsidRPr="002B51E1">
        <w:rPr>
          <w:rFonts w:cs="Arial"/>
          <w:sz w:val="24"/>
          <w:szCs w:val="24"/>
          <w:rtl/>
        </w:rPr>
        <w:t xml:space="preserve"> </w:t>
      </w:r>
      <w:r w:rsidRPr="002B51E1">
        <w:rPr>
          <w:rFonts w:cs="Arial" w:hint="cs"/>
          <w:sz w:val="24"/>
          <w:szCs w:val="24"/>
          <w:rtl/>
        </w:rPr>
        <w:t>تمتع</w:t>
      </w:r>
      <w:r w:rsidRPr="002B51E1">
        <w:rPr>
          <w:rFonts w:cs="Arial"/>
          <w:sz w:val="24"/>
          <w:szCs w:val="24"/>
          <w:rtl/>
        </w:rPr>
        <w:t xml:space="preserve"> </w:t>
      </w:r>
      <w:r w:rsidRPr="002B51E1">
        <w:rPr>
          <w:rFonts w:cs="Arial" w:hint="cs"/>
          <w:sz w:val="24"/>
          <w:szCs w:val="24"/>
          <w:rtl/>
        </w:rPr>
        <w:t>الأجانب</w:t>
      </w:r>
      <w:r w:rsidRPr="002B51E1">
        <w:rPr>
          <w:rFonts w:cs="Arial"/>
          <w:sz w:val="24"/>
          <w:szCs w:val="24"/>
          <w:rtl/>
        </w:rPr>
        <w:t xml:space="preserve"> </w:t>
      </w:r>
      <w:r w:rsidRPr="002B51E1">
        <w:rPr>
          <w:rFonts w:cs="Arial" w:hint="cs"/>
          <w:sz w:val="24"/>
          <w:szCs w:val="24"/>
          <w:rtl/>
        </w:rPr>
        <w:t>بالحقوق</w:t>
      </w:r>
      <w:r w:rsidRPr="002B51E1">
        <w:rPr>
          <w:rFonts w:cs="Arial"/>
          <w:sz w:val="24"/>
          <w:szCs w:val="24"/>
          <w:rtl/>
        </w:rPr>
        <w:t xml:space="preserve">) – </w:t>
      </w:r>
      <w:r w:rsidRPr="002B51E1">
        <w:rPr>
          <w:rFonts w:cs="Arial" w:hint="cs"/>
          <w:sz w:val="24"/>
          <w:szCs w:val="24"/>
          <w:rtl/>
        </w:rPr>
        <w:t>الطبعة</w:t>
      </w:r>
      <w:r w:rsidRPr="002B51E1">
        <w:rPr>
          <w:rFonts w:cs="Arial"/>
          <w:sz w:val="24"/>
          <w:szCs w:val="24"/>
          <w:rtl/>
        </w:rPr>
        <w:t xml:space="preserve"> </w:t>
      </w:r>
      <w:r w:rsidRPr="002B51E1">
        <w:rPr>
          <w:rFonts w:cs="Arial" w:hint="cs"/>
          <w:sz w:val="24"/>
          <w:szCs w:val="24"/>
          <w:rtl/>
        </w:rPr>
        <w:t>الثالثة</w:t>
      </w:r>
      <w:r w:rsidRPr="002B51E1">
        <w:rPr>
          <w:rFonts w:cs="Arial"/>
          <w:sz w:val="24"/>
          <w:szCs w:val="24"/>
          <w:rtl/>
        </w:rPr>
        <w:t xml:space="preserve"> – </w:t>
      </w:r>
      <w:r w:rsidRPr="002B51E1">
        <w:rPr>
          <w:rFonts w:cs="Arial" w:hint="cs"/>
          <w:sz w:val="24"/>
          <w:szCs w:val="24"/>
          <w:rtl/>
        </w:rPr>
        <w:t>مطبعة</w:t>
      </w:r>
      <w:r w:rsidRPr="002B51E1">
        <w:rPr>
          <w:rFonts w:cs="Arial"/>
          <w:sz w:val="24"/>
          <w:szCs w:val="24"/>
          <w:rtl/>
        </w:rPr>
        <w:t xml:space="preserve"> </w:t>
      </w:r>
      <w:r w:rsidRPr="002B51E1">
        <w:rPr>
          <w:rFonts w:cs="Arial" w:hint="cs"/>
          <w:sz w:val="24"/>
          <w:szCs w:val="24"/>
          <w:rtl/>
        </w:rPr>
        <w:t>جامعة</w:t>
      </w:r>
      <w:r w:rsidRPr="002B51E1">
        <w:rPr>
          <w:rFonts w:cs="Arial"/>
          <w:sz w:val="24"/>
          <w:szCs w:val="24"/>
          <w:rtl/>
        </w:rPr>
        <w:t xml:space="preserve"> </w:t>
      </w:r>
      <w:r w:rsidRPr="002B51E1">
        <w:rPr>
          <w:rFonts w:cs="Arial" w:hint="cs"/>
          <w:sz w:val="24"/>
          <w:szCs w:val="24"/>
          <w:rtl/>
        </w:rPr>
        <w:t>القاهرة</w:t>
      </w:r>
      <w:r w:rsidRPr="002B51E1">
        <w:rPr>
          <w:rFonts w:cs="Arial"/>
          <w:sz w:val="24"/>
          <w:szCs w:val="24"/>
          <w:rtl/>
        </w:rPr>
        <w:t xml:space="preserve"> – 1953 – </w:t>
      </w:r>
      <w:r w:rsidRPr="002B51E1">
        <w:rPr>
          <w:rFonts w:cs="Arial" w:hint="cs"/>
          <w:sz w:val="24"/>
          <w:szCs w:val="24"/>
          <w:rtl/>
        </w:rPr>
        <w:t>ص</w:t>
      </w:r>
      <w:r w:rsidRPr="002B51E1">
        <w:rPr>
          <w:rFonts w:cs="Arial"/>
          <w:sz w:val="24"/>
          <w:szCs w:val="24"/>
          <w:rtl/>
        </w:rPr>
        <w:t>307.</w:t>
      </w:r>
    </w:p>
  </w:footnote>
  <w:footnote w:id="4">
    <w:p w:rsidR="0021312E" w:rsidRPr="002B51E1" w:rsidRDefault="0021312E" w:rsidP="0021312E">
      <w:pPr>
        <w:pStyle w:val="aa"/>
        <w:rPr>
          <w:sz w:val="24"/>
          <w:szCs w:val="24"/>
        </w:rPr>
      </w:pPr>
      <w:r w:rsidRPr="002B51E1">
        <w:rPr>
          <w:rFonts w:hint="cs"/>
          <w:sz w:val="24"/>
          <w:szCs w:val="24"/>
          <w:rtl/>
        </w:rPr>
        <w:t>(</w:t>
      </w:r>
      <w:r w:rsidRPr="002B51E1">
        <w:rPr>
          <w:rStyle w:val="ab"/>
          <w:sz w:val="24"/>
          <w:szCs w:val="24"/>
        </w:rPr>
        <w:footnoteRef/>
      </w:r>
      <w:r w:rsidRPr="002B51E1">
        <w:rPr>
          <w:rFonts w:hint="cs"/>
          <w:sz w:val="24"/>
          <w:szCs w:val="24"/>
          <w:rtl/>
        </w:rPr>
        <w:t>)</w:t>
      </w:r>
      <w:r w:rsidRPr="002B51E1">
        <w:rPr>
          <w:rFonts w:cs="Arial" w:hint="cs"/>
          <w:sz w:val="24"/>
          <w:szCs w:val="24"/>
          <w:rtl/>
        </w:rPr>
        <w:t xml:space="preserve"> د</w:t>
      </w:r>
      <w:r w:rsidRPr="002B51E1">
        <w:rPr>
          <w:rFonts w:cs="Arial"/>
          <w:sz w:val="24"/>
          <w:szCs w:val="24"/>
          <w:rtl/>
        </w:rPr>
        <w:t xml:space="preserve">. </w:t>
      </w:r>
      <w:r w:rsidRPr="002B51E1">
        <w:rPr>
          <w:rFonts w:cs="Arial" w:hint="cs"/>
          <w:sz w:val="24"/>
          <w:szCs w:val="24"/>
          <w:rtl/>
        </w:rPr>
        <w:t>عز</w:t>
      </w:r>
      <w:r w:rsidRPr="002B51E1">
        <w:rPr>
          <w:rFonts w:cs="Arial"/>
          <w:sz w:val="24"/>
          <w:szCs w:val="24"/>
          <w:rtl/>
        </w:rPr>
        <w:t xml:space="preserve"> </w:t>
      </w:r>
      <w:r w:rsidRPr="002B51E1">
        <w:rPr>
          <w:rFonts w:cs="Arial" w:hint="cs"/>
          <w:sz w:val="24"/>
          <w:szCs w:val="24"/>
          <w:rtl/>
        </w:rPr>
        <w:t>الدين</w:t>
      </w:r>
      <w:r w:rsidRPr="002B51E1">
        <w:rPr>
          <w:rFonts w:cs="Arial"/>
          <w:sz w:val="24"/>
          <w:szCs w:val="24"/>
          <w:rtl/>
        </w:rPr>
        <w:t xml:space="preserve"> </w:t>
      </w:r>
      <w:r w:rsidRPr="002B51E1">
        <w:rPr>
          <w:rFonts w:cs="Arial" w:hint="cs"/>
          <w:sz w:val="24"/>
          <w:szCs w:val="24"/>
          <w:rtl/>
        </w:rPr>
        <w:t>عبد</w:t>
      </w:r>
      <w:r w:rsidRPr="002B51E1">
        <w:rPr>
          <w:rFonts w:cs="Arial"/>
          <w:sz w:val="24"/>
          <w:szCs w:val="24"/>
          <w:rtl/>
        </w:rPr>
        <w:t xml:space="preserve"> </w:t>
      </w:r>
      <w:r w:rsidRPr="002B51E1">
        <w:rPr>
          <w:rFonts w:cs="Arial" w:hint="cs"/>
          <w:sz w:val="24"/>
          <w:szCs w:val="24"/>
          <w:rtl/>
        </w:rPr>
        <w:t>الله</w:t>
      </w:r>
      <w:r w:rsidRPr="002B51E1">
        <w:rPr>
          <w:rFonts w:cs="Arial"/>
          <w:sz w:val="24"/>
          <w:szCs w:val="24"/>
          <w:rtl/>
        </w:rPr>
        <w:t xml:space="preserve"> – </w:t>
      </w:r>
      <w:r w:rsidRPr="002B51E1">
        <w:rPr>
          <w:rFonts w:cs="Arial" w:hint="cs"/>
          <w:sz w:val="24"/>
          <w:szCs w:val="24"/>
          <w:rtl/>
        </w:rPr>
        <w:t>المصدر</w:t>
      </w:r>
      <w:r w:rsidRPr="002B51E1">
        <w:rPr>
          <w:rFonts w:cs="Arial"/>
          <w:sz w:val="24"/>
          <w:szCs w:val="24"/>
          <w:rtl/>
        </w:rPr>
        <w:t xml:space="preserve"> </w:t>
      </w:r>
      <w:r w:rsidRPr="002B51E1">
        <w:rPr>
          <w:rFonts w:cs="Arial" w:hint="cs"/>
          <w:sz w:val="24"/>
          <w:szCs w:val="24"/>
          <w:rtl/>
        </w:rPr>
        <w:t>السابق</w:t>
      </w:r>
      <w:r w:rsidRPr="002B51E1">
        <w:rPr>
          <w:rFonts w:cs="Arial"/>
          <w:sz w:val="24"/>
          <w:szCs w:val="24"/>
          <w:rtl/>
        </w:rPr>
        <w:t xml:space="preserve"> – </w:t>
      </w:r>
      <w:r w:rsidRPr="002B51E1">
        <w:rPr>
          <w:rFonts w:cs="Arial" w:hint="cs"/>
          <w:sz w:val="24"/>
          <w:szCs w:val="24"/>
          <w:rtl/>
        </w:rPr>
        <w:t>ص</w:t>
      </w:r>
      <w:r w:rsidRPr="002B51E1">
        <w:rPr>
          <w:rFonts w:cs="Arial"/>
          <w:sz w:val="24"/>
          <w:szCs w:val="24"/>
          <w:rtl/>
        </w:rPr>
        <w:t>540.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79"/>
    <w:multiLevelType w:val="hybridMultilevel"/>
    <w:tmpl w:val="E346ACA8"/>
    <w:lvl w:ilvl="0" w:tplc="8484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39BC"/>
    <w:multiLevelType w:val="hybridMultilevel"/>
    <w:tmpl w:val="25B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E5A05"/>
    <w:multiLevelType w:val="hybridMultilevel"/>
    <w:tmpl w:val="40069A62"/>
    <w:lvl w:ilvl="0" w:tplc="37AE7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22726"/>
    <w:multiLevelType w:val="hybridMultilevel"/>
    <w:tmpl w:val="0B6EFE0A"/>
    <w:lvl w:ilvl="0" w:tplc="12C0AB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F0070"/>
    <w:multiLevelType w:val="hybridMultilevel"/>
    <w:tmpl w:val="A60A3B62"/>
    <w:lvl w:ilvl="0" w:tplc="9B44F02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0088"/>
    <w:multiLevelType w:val="hybridMultilevel"/>
    <w:tmpl w:val="55B6C308"/>
    <w:lvl w:ilvl="0" w:tplc="ACF0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A071E"/>
    <w:multiLevelType w:val="hybridMultilevel"/>
    <w:tmpl w:val="0FC41A44"/>
    <w:lvl w:ilvl="0" w:tplc="E466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15C97"/>
    <w:multiLevelType w:val="hybridMultilevel"/>
    <w:tmpl w:val="B88EC61E"/>
    <w:lvl w:ilvl="0" w:tplc="2BA836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005258"/>
    <w:multiLevelType w:val="hybridMultilevel"/>
    <w:tmpl w:val="C7D03528"/>
    <w:lvl w:ilvl="0" w:tplc="76E4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02BC"/>
    <w:multiLevelType w:val="hybridMultilevel"/>
    <w:tmpl w:val="03A8820A"/>
    <w:lvl w:ilvl="0" w:tplc="2F0AE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47A3E"/>
    <w:multiLevelType w:val="hybridMultilevel"/>
    <w:tmpl w:val="6F0214C4"/>
    <w:lvl w:ilvl="0" w:tplc="1960E9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E4B32"/>
    <w:multiLevelType w:val="hybridMultilevel"/>
    <w:tmpl w:val="2D36E942"/>
    <w:lvl w:ilvl="0" w:tplc="9A16E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77620"/>
    <w:multiLevelType w:val="hybridMultilevel"/>
    <w:tmpl w:val="50680602"/>
    <w:lvl w:ilvl="0" w:tplc="AACE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CE7"/>
    <w:multiLevelType w:val="hybridMultilevel"/>
    <w:tmpl w:val="496AF744"/>
    <w:lvl w:ilvl="0" w:tplc="2F2C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548A8"/>
    <w:multiLevelType w:val="hybridMultilevel"/>
    <w:tmpl w:val="3FA4C1D6"/>
    <w:lvl w:ilvl="0" w:tplc="D054A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85B41"/>
    <w:multiLevelType w:val="hybridMultilevel"/>
    <w:tmpl w:val="67E41382"/>
    <w:lvl w:ilvl="0" w:tplc="164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01946"/>
    <w:multiLevelType w:val="hybridMultilevel"/>
    <w:tmpl w:val="BEAA00FC"/>
    <w:lvl w:ilvl="0" w:tplc="35E4E2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C5830"/>
    <w:multiLevelType w:val="hybridMultilevel"/>
    <w:tmpl w:val="78A83C1C"/>
    <w:lvl w:ilvl="0" w:tplc="42FADA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F5958"/>
    <w:multiLevelType w:val="hybridMultilevel"/>
    <w:tmpl w:val="2506AEC2"/>
    <w:lvl w:ilvl="0" w:tplc="EFD20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286464"/>
    <w:multiLevelType w:val="hybridMultilevel"/>
    <w:tmpl w:val="315E492A"/>
    <w:lvl w:ilvl="0" w:tplc="D910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91EA1"/>
    <w:multiLevelType w:val="hybridMultilevel"/>
    <w:tmpl w:val="BF884C88"/>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816B9"/>
    <w:multiLevelType w:val="hybridMultilevel"/>
    <w:tmpl w:val="18D0509E"/>
    <w:lvl w:ilvl="0" w:tplc="B868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26F5"/>
    <w:multiLevelType w:val="hybridMultilevel"/>
    <w:tmpl w:val="07DA70D4"/>
    <w:lvl w:ilvl="0" w:tplc="2378038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75760"/>
    <w:multiLevelType w:val="hybridMultilevel"/>
    <w:tmpl w:val="6D328346"/>
    <w:lvl w:ilvl="0" w:tplc="AC0CD0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279B"/>
    <w:multiLevelType w:val="hybridMultilevel"/>
    <w:tmpl w:val="C04A7A1A"/>
    <w:lvl w:ilvl="0" w:tplc="E6D6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57272"/>
    <w:multiLevelType w:val="hybridMultilevel"/>
    <w:tmpl w:val="2C88C586"/>
    <w:lvl w:ilvl="0" w:tplc="CC4E7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B2C09"/>
    <w:multiLevelType w:val="hybridMultilevel"/>
    <w:tmpl w:val="88FE0372"/>
    <w:lvl w:ilvl="0" w:tplc="4868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E52CF"/>
    <w:multiLevelType w:val="hybridMultilevel"/>
    <w:tmpl w:val="65946848"/>
    <w:lvl w:ilvl="0" w:tplc="95E60D8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nsid w:val="6D942609"/>
    <w:multiLevelType w:val="hybridMultilevel"/>
    <w:tmpl w:val="C49888F2"/>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F6760"/>
    <w:multiLevelType w:val="hybridMultilevel"/>
    <w:tmpl w:val="5D92146E"/>
    <w:lvl w:ilvl="0" w:tplc="4CB2C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24"/>
  </w:num>
  <w:num w:numId="5">
    <w:abstractNumId w:val="8"/>
  </w:num>
  <w:num w:numId="6">
    <w:abstractNumId w:val="12"/>
  </w:num>
  <w:num w:numId="7">
    <w:abstractNumId w:val="15"/>
  </w:num>
  <w:num w:numId="8">
    <w:abstractNumId w:val="19"/>
  </w:num>
  <w:num w:numId="9">
    <w:abstractNumId w:val="23"/>
  </w:num>
  <w:num w:numId="10">
    <w:abstractNumId w:val="3"/>
  </w:num>
  <w:num w:numId="11">
    <w:abstractNumId w:val="10"/>
  </w:num>
  <w:num w:numId="12">
    <w:abstractNumId w:val="27"/>
  </w:num>
  <w:num w:numId="13">
    <w:abstractNumId w:val="29"/>
  </w:num>
  <w:num w:numId="14">
    <w:abstractNumId w:val="25"/>
  </w:num>
  <w:num w:numId="15">
    <w:abstractNumId w:val="2"/>
  </w:num>
  <w:num w:numId="16">
    <w:abstractNumId w:val="21"/>
  </w:num>
  <w:num w:numId="17">
    <w:abstractNumId w:val="14"/>
  </w:num>
  <w:num w:numId="18">
    <w:abstractNumId w:val="18"/>
  </w:num>
  <w:num w:numId="19">
    <w:abstractNumId w:val="26"/>
  </w:num>
  <w:num w:numId="20">
    <w:abstractNumId w:val="13"/>
  </w:num>
  <w:num w:numId="21">
    <w:abstractNumId w:val="16"/>
  </w:num>
  <w:num w:numId="22">
    <w:abstractNumId w:val="17"/>
  </w:num>
  <w:num w:numId="23">
    <w:abstractNumId w:val="7"/>
  </w:num>
  <w:num w:numId="24">
    <w:abstractNumId w:val="22"/>
  </w:num>
  <w:num w:numId="25">
    <w:abstractNumId w:val="20"/>
  </w:num>
  <w:num w:numId="26">
    <w:abstractNumId w:val="28"/>
  </w:num>
  <w:num w:numId="27">
    <w:abstractNumId w:val="1"/>
  </w:num>
  <w:num w:numId="28">
    <w:abstractNumId w:val="4"/>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DA"/>
    <w:rsid w:val="000D6729"/>
    <w:rsid w:val="00184A5E"/>
    <w:rsid w:val="001857FC"/>
    <w:rsid w:val="001973E6"/>
    <w:rsid w:val="0021312E"/>
    <w:rsid w:val="002630AE"/>
    <w:rsid w:val="0026375C"/>
    <w:rsid w:val="00291A16"/>
    <w:rsid w:val="0032645D"/>
    <w:rsid w:val="004439E5"/>
    <w:rsid w:val="00472062"/>
    <w:rsid w:val="00486139"/>
    <w:rsid w:val="004E3168"/>
    <w:rsid w:val="005D67F1"/>
    <w:rsid w:val="006A666F"/>
    <w:rsid w:val="006C5BCC"/>
    <w:rsid w:val="006E5D26"/>
    <w:rsid w:val="006F55F3"/>
    <w:rsid w:val="0080010C"/>
    <w:rsid w:val="00823A40"/>
    <w:rsid w:val="009662BE"/>
    <w:rsid w:val="00985D1A"/>
    <w:rsid w:val="009B0140"/>
    <w:rsid w:val="009D3F14"/>
    <w:rsid w:val="00A2137C"/>
    <w:rsid w:val="00A37ADA"/>
    <w:rsid w:val="00AB5762"/>
    <w:rsid w:val="00B41536"/>
    <w:rsid w:val="00C36F9D"/>
    <w:rsid w:val="00C72AEE"/>
    <w:rsid w:val="00CB5A30"/>
    <w:rsid w:val="00CB6A2D"/>
    <w:rsid w:val="00D451F7"/>
    <w:rsid w:val="00D5611C"/>
    <w:rsid w:val="00DB0C75"/>
    <w:rsid w:val="00DB3E2D"/>
    <w:rsid w:val="00E13FE3"/>
    <w:rsid w:val="00E17638"/>
    <w:rsid w:val="00E4212A"/>
    <w:rsid w:val="00E5168E"/>
    <w:rsid w:val="00F3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837</Words>
  <Characters>4775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28</cp:revision>
  <dcterms:created xsi:type="dcterms:W3CDTF">2022-12-25T15:57:00Z</dcterms:created>
  <dcterms:modified xsi:type="dcterms:W3CDTF">2022-12-25T17:13:00Z</dcterms:modified>
</cp:coreProperties>
</file>