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tl/>
        </w:rPr>
      </w:pPr>
      <w:r>
        <w:rPr>
          <w:rtl/>
        </w:rPr>
        <w:t>المحاضره</w:t>
      </w:r>
      <w:r>
        <w:rPr>
          <w:rtl/>
        </w:rPr>
        <w:t xml:space="preserve"> </w:t>
      </w:r>
      <w:r>
        <w:rPr>
          <w:rtl/>
        </w:rPr>
        <w:t>الخامسه</w:t>
      </w:r>
    </w:p>
    <w:p>
      <w:pPr>
        <w:pStyle w:val="style0"/>
        <w:bidi/>
        <w:jc w:val="center"/>
        <w:rPr>
          <w:rtl/>
        </w:rPr>
      </w:pPr>
      <w:r>
        <w:rPr>
          <w:rFonts w:hint="cs"/>
          <w:rtl/>
          <w:lang w:bidi="ar-DZ"/>
        </w:rPr>
        <w:t xml:space="preserve">العاب المضرب التنس </w:t>
      </w:r>
    </w:p>
    <w:p>
      <w:pPr>
        <w:pStyle w:val="style0"/>
        <w:bidi/>
        <w:jc w:val="center"/>
        <w:rPr/>
      </w:pPr>
      <w:r>
        <w:rPr>
          <w:rFonts w:hint="cs"/>
          <w:rtl/>
          <w:lang w:bidi="ar-DZ"/>
        </w:rPr>
        <w:t xml:space="preserve">مهاره الارسال </w:t>
      </w:r>
    </w:p>
    <w:p>
      <w:pPr>
        <w:pStyle w:val="style0"/>
        <w:bidi/>
        <w:jc w:val="center"/>
        <w:rPr/>
      </w:pPr>
      <w:r>
        <w:rPr/>
        <w:drawing>
          <wp:inline distL="114300" distT="0" distB="0" distR="114300">
            <wp:extent cx="5565498" cy="370792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65498" cy="37079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/>
      </w:pPr>
      <w:r>
        <w:rPr>
          <w:rFonts w:hint="cs"/>
          <w:rtl/>
          <w:lang w:bidi="ar-DZ"/>
        </w:rPr>
        <w:t>م</w:t>
      </w:r>
      <w:r>
        <w:rPr>
          <w:rFonts w:hint="default"/>
          <w:rtl/>
          <w:lang w:val="en-US" w:bidi="ar-DZ"/>
        </w:rPr>
        <w:t>.</w:t>
      </w:r>
      <w:r>
        <w:rPr>
          <w:rFonts w:hint="cs"/>
          <w:rtl/>
          <w:lang w:val="en-US" w:bidi="ar-DZ"/>
        </w:rPr>
        <w:t xml:space="preserve">م زين العابدين طارق فخري </w:t>
      </w:r>
    </w:p>
    <w:p>
      <w:pPr>
        <w:pStyle w:val="style0"/>
        <w:bidi/>
        <w:jc w:val="left"/>
        <w:rPr/>
      </w:pPr>
      <w:r>
        <w:rPr>
          <w:rtl/>
        </w:rPr>
        <w:t xml:space="preserve"> </w:t>
      </w:r>
    </w:p>
    <w:bookmarkStart w:id="0" w:name="_gjdgxs" w:colFirst="0" w:colLast="0"/>
    <w:bookmarkEnd w:id="0"/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التنس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الأرضي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لعبة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التنس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الأرضي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المهارات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الأساسية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والمهمة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توضع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ويتم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أداءه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دائرية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المركز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المحور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مفصل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الكتف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فتستثمر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قوته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بسرعة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بحيث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الصعب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المنافس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المستقبل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إرجاعها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بقوة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التمكن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صدها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الإطلاق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وحصوله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مباشرة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1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مفتاح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الهجومي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وهو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أصعب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لأنه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يحتاج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سيطرة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كبيرة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ويتميز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بكونه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القوة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الحديث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بالتنس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يمكن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البدء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بتسجيل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النقاط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هذه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2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كما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المهارات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المغلقة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تدخل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لأي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ظرف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خارجي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يجعل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طريقة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أداءها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يتوقف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الوحيدة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المكونة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تحضيري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متمثل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بالتهيؤ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وقسم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رئيس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يبدأ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واخيرا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النهائي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3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وهذا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تؤكده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ألين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وديع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بالتنس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ثلاثة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مراحل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تبدأ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بالمرحلة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التمهيدية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تشمل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مرجحتها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ونقل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المرحلة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الأساسية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تشمل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تبدأ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أماما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ونقل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لتليها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المرحلة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النهائية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استمرار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ونقل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لحفظ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توازن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والتهيؤ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لتكملة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4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ويعد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الوحيدة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لعبة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التنس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تحت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السيطرة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الكاملة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عداها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ردود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فعل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استجابة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لضربات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المنافس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ويجب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تطويره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طريق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نظام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ثابت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ذو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خطوات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محددة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حتى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يصبح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آلية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وإيجاد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الإيقاع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المنتظم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التخطيط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والتدريب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والإتقان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لهذا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النظام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تحديد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وضع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ومكان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وتحديد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نوع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ومكان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سقوط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وتعديل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والتنفس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العميق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وطبطبة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بإيقاع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وتصور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المثالي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والتركيز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رفع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المحددة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5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ويرى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الباحث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السلاح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الهجومي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الأكثر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تأثيرا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والقوة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والحاسمة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الحديث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يملك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إرسالا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قويا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ودقيقا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الفرصة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الأكبر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كسب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نتيجة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المباراة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بأقل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وقت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وجهد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بدني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إضافة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أثره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المعنوي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إرباك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المنافس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وتسليطه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الضغط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النفسي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يفقده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التركيز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وجعل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أداءه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سلبيا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لذلك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الضروري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إتقانه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بمستوى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ٍ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الثبات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والتفوق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أولا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ً-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أنواع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6"/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: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1-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المستقيم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وهو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البسيط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بصورة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مستقيمة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جزئها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وذلك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عندما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النهاية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الميتة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وبضربة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سريعة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نهاية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منطقة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تلحق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ويراعى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ذلك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تدويرها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بمستوى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واطئ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قريبة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الشبكة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2-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الدائري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العالي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: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هذا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رمي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فوق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راس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تقريبا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وتسليط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الدوران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العلوي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وتوجه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الجهة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اليسرى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المستقبل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وبعيدة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مقوس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الشبكة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المرسل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عكس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اتجاه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3-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الدائري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الواطئ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(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القطري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)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جهتها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اليمنى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رمي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قليلا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جهة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حول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مسار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قطري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واطئ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مبتعدة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الخارج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للجهة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اليمنى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المنافس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هذه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الأكثر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شيوعا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واستخداما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وجود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تقسيمات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أخرى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وكما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قسمها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طارق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حمودي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لتشمل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المستقيم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الملتوي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يعني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القطري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تسميات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أخرى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المنحرف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يسمى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بالدائري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إضافة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المعكوس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قليل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وهو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الصعب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إذ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جهتها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ظهر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موجه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الأرض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سحبه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معكوسة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لتنتهي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يسار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وقلب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زاوية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حادة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الأرض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،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واخيرا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هناك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تحت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يستعمله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المتقدمون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لسهولته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وعدم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فاعليته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اللعبة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7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الباحث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استخدام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نوع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محكوما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بوقفة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المنافس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تجعل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المرسل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يستخدم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يظن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انه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الأنسب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توجيه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مؤثر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وفعال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للحصول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مباشرة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أو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يصعب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ردها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لذلك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الضروري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التدرب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جميع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أنواع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ثانيا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ً-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أقسام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مهارة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: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     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مهارة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لعبة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التنس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الأرضي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تنقسم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خمسة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أقسام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كالآتي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:-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1-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تستخدم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بأنواعها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الغربية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الزاوية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السبابة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والإبهام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مائلة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الوسط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القارية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الزاوية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السبابة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والإبهام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مائلة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الوسط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اليسار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،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الشرقية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الأشهر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المسكات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بمسك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الأسفل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والأصابع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حوله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بحيث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الإبهام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السبابة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رقم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(7) 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حافة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القاعدة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العليا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مسكة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قوية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ومرنة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8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2- "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الوقفة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تقديم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اليسار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(2-3)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أقدام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العلامة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الوسطية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يشكل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الكتفان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خط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مستقيم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قائم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الشبكة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بالجهة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المعاكسة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وزن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اليمنى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الثني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القليل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للركبتين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3-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التحضيرية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وقذف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الأسفل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ثني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مفصل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المرفق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بنفس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الوقت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تبدأ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الحاملة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بالامتداد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وقذف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(2-3)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أقدام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تقريبا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تركيز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النظر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" ،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الباحث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إمكانية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تسميتها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التحضيرية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واجبها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تحضيري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التنفيذ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وذلك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لتميزها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9"/>
      </w:r>
      <w:r>
        <w:rPr>
          <w:rFonts w:ascii="Times New Roman" w:cs="Times New Roman" w:eastAsia="Times New Roman" w:hAnsi="Times New Roman"/>
          <w:sz w:val="20"/>
          <w:szCs w:val="20"/>
        </w:rPr>
        <w:t>.</w:t>
      </w:r>
    </w:p>
    <w:p>
      <w:pPr>
        <w:pStyle w:val="style0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4-"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الأمامية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ملاقاة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ترك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لليد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نهاية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الخلفية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يقوم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بجلب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الذراع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الضاربة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للأمام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باتجاه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إذ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يترك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كعب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اليمنى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الأرض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وينقل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الوزن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اليسرى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أماما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بميلان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الكامل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والالتقاء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نقطة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(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ويجد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الباحث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إمكانية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تسمية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هذه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التنفيذية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لتمييزها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المرجحة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التحضيرية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ولكون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واجبها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تنفيذي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بالنسبة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الجزء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الرئيس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والذي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الأساس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)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5-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نهاية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والمتابعة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الاستمرار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الأسفل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بعد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ضرب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وتتقاطع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قطريا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ً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وانتقال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وزن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القدم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اليمين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أخرى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بخطوة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داخل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الملعب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للمحافظة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توازن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الجسم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والاستعداد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للحركة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تليها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"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10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ثالثا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ً-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تدريب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مهارة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b/>
          <w:sz w:val="20"/>
          <w:szCs w:val="20"/>
          <w:rtl/>
        </w:rPr>
        <w:t xml:space="preserve"> :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ab/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تدريب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مهارة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الإرسال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يكون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باتباع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الطرق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السليمة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تضمن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لللاعب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التدريب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الصحيح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بالطرق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الآتية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id="11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:-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1-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طريقة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التوضيح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الصور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التوضيحية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للمهارة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وأقسامها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ومشاهدة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الأفلام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الخاصة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وحضور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المسابقات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أمكن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shd w:val="clear" w:color="auto" w:fill="ffffff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2-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طريقة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الشرح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هذه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الطريقة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في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الجانب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النظري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بشرح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المهارة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وكيفية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أداءها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لكل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جزء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حتى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الكامل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بدون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أداة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الإرشادات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والملاحظات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المحاضرات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التعليمية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.</w:t>
      </w:r>
    </w:p>
    <w:p>
      <w:pPr>
        <w:pStyle w:val="style0"/>
        <w:bidi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rtl/>
        </w:rPr>
        <w:t>3-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الطريقة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العملية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: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وتكون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خلال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الجانب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العملي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والتطبيق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الفعلي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بتنفيذ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التمارين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ذات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العلاقة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بالمهارة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الفني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الحركي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لها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قبل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اللاعبين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مع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التأكيد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على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الفعلي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وصولا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إلى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الأداء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>الأمثل</w:t>
      </w:r>
      <w:r>
        <w:rPr>
          <w:rFonts w:ascii="Times New Roman" w:cs="Times New Roman" w:eastAsia="Times New Roman" w:hAnsi="Times New Roman"/>
          <w:sz w:val="20"/>
          <w:szCs w:val="20"/>
          <w:rtl/>
        </w:rPr>
        <w:t xml:space="preserve">  .</w:t>
      </w:r>
    </w:p>
    <w:p>
      <w:pPr>
        <w:pStyle w:val="style0"/>
        <w:bidi/>
        <w:rPr/>
      </w:pP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آن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بتمان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مصدر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سبق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ذكره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75 . </w:t>
      </w:r>
    </w:p>
  </w:footnote>
  <w:footnote w:id="2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ظافر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هاشم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الكاظمي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الأعداد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الفني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والخططي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بالتنس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ط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2،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بغداد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الدار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الجامعية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للطباعة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والنشر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،2000،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67 .</w:t>
      </w:r>
    </w:p>
  </w:footnote>
  <w:footnote w:id="3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نجاح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محمد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شلش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مصدر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سبق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ذكره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96 . </w:t>
      </w:r>
    </w:p>
  </w:footnote>
  <w:footnote w:id="4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الين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وديع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فرج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مصدر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سبق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ذكره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25. </w:t>
      </w:r>
    </w:p>
  </w:footnote>
  <w:footnote w:id="5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محمد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العربي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شمعون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وعبد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النبي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جمال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التدريب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العقلي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في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التنس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مدينة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نصر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دار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الفكر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العربي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،1996،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105. </w:t>
      </w:r>
    </w:p>
  </w:footnote>
  <w:footnote w:id="6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عبد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الستار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الصراف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العاب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المضرب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بغداد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مطبعة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التعليم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العالي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1988،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71 .  </w:t>
      </w:r>
    </w:p>
  </w:footnote>
  <w:footnote w:id="7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طارق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حمودي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الجلبي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العاب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الكرة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والمضرب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الموصل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دار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الكتب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للطباعة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والنشر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،1987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38. </w:t>
      </w:r>
    </w:p>
  </w:footnote>
  <w:footnote w:id="8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سلوم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مصدر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سبق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ذكره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53 .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</w:t>
      </w:r>
    </w:p>
  </w:footnote>
  <w:footnote w:id="9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هلال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عبد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الرزاق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واخران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الإعداد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الفني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والخططي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بالتنس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الموصل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دار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الكتب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للطباعة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والنشر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،1991،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58 . </w:t>
      </w:r>
    </w:p>
  </w:footnote>
  <w:footnote w:id="10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سلوم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مصدر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سبق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ذكره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71 . </w:t>
      </w:r>
    </w:p>
  </w:footnote>
  <w:footnote w:id="11"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vertAlign w:val="superscript"/>
        </w:rPr>
        <w:footnoteRef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سامي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عبد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القادر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الأسس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الحديثة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في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التنس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بغداد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مطبعة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التعليم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العالي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، 1990 ،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44.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1195</Words>
  <Characters>5713</Characters>
  <Application>WPS Office</Application>
  <Paragraphs>46</Paragraphs>
  <CharactersWithSpaces>6907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٢٠٢٣-١٠-٢٦T١١:٠٣:٢٢Z</dcterms:created>
  <dc:creator>WPS Office</dc:creator>
  <lastModifiedBy>21091116C</lastModifiedBy>
  <dcterms:modified xsi:type="dcterms:W3CDTF">٢٠٢٣-١٠-٢٦T١١:٠٣:٢٢Z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174379e4034349dca078c1279e5d60bb</vt:lpwstr>
  </property>
</Properties>
</file>