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9E21" w14:textId="77777777" w:rsidR="00556141" w:rsidRDefault="00556141" w:rsidP="00556141">
      <w:pPr>
        <w:pStyle w:val="z-TopofForm"/>
      </w:pPr>
      <w:r>
        <w:t>Top of Form</w:t>
      </w:r>
    </w:p>
    <w:p w14:paraId="3AEB411D" w14:textId="77777777" w:rsidR="00556141" w:rsidRDefault="00556141" w:rsidP="00556141"/>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556141" w14:paraId="5E86FF8D" w14:textId="77777777" w:rsidTr="00556141">
        <w:trPr>
          <w:tblCellSpacing w:w="0" w:type="dxa"/>
        </w:trPr>
        <w:tc>
          <w:tcPr>
            <w:tcW w:w="150" w:type="dxa"/>
            <w:vAlign w:val="center"/>
            <w:hideMark/>
          </w:tcPr>
          <w:p w14:paraId="6E2DC94D" w14:textId="3A8C877A" w:rsidR="00556141" w:rsidRDefault="00556141">
            <w:r>
              <w:rPr>
                <w:noProof/>
              </w:rPr>
              <mc:AlternateContent>
                <mc:Choice Requires="wps">
                  <w:drawing>
                    <wp:inline distT="0" distB="0" distL="0" distR="0" wp14:anchorId="22A28554" wp14:editId="3314A862">
                      <wp:extent cx="95250" cy="95250"/>
                      <wp:effectExtent l="0" t="0" r="0" b="0"/>
                      <wp:docPr id="811446964"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E9F38" id="Rectangle 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6D909205" w14:textId="3B6ABEDC" w:rsidR="00556141" w:rsidRDefault="00556141">
            <w:r>
              <w:rPr>
                <w:noProof/>
              </w:rPr>
              <mc:AlternateContent>
                <mc:Choice Requires="wps">
                  <w:drawing>
                    <wp:inline distT="0" distB="0" distL="0" distR="0" wp14:anchorId="4FE1BC69" wp14:editId="7F3F5347">
                      <wp:extent cx="304800" cy="304800"/>
                      <wp:effectExtent l="0" t="0" r="0" b="0"/>
                      <wp:docPr id="1456456903"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9BC73" id="Rectangle 1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5E3EBE2E" w14:textId="39E782B3" w:rsidR="00556141" w:rsidRDefault="00556141">
            <w:r>
              <w:rPr>
                <w:noProof/>
              </w:rPr>
              <mc:AlternateContent>
                <mc:Choice Requires="wps">
                  <w:drawing>
                    <wp:inline distT="0" distB="0" distL="0" distR="0" wp14:anchorId="2205DA45" wp14:editId="2E742CCD">
                      <wp:extent cx="304800" cy="304800"/>
                      <wp:effectExtent l="0" t="0" r="0" b="0"/>
                      <wp:docPr id="1281740304"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39B97" id="Rectangle 1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w:t>
            </w:r>
          </w:p>
        </w:tc>
        <w:tc>
          <w:tcPr>
            <w:tcW w:w="0" w:type="auto"/>
            <w:vAlign w:val="center"/>
            <w:hideMark/>
          </w:tcPr>
          <w:p w14:paraId="2812C800" w14:textId="77777777" w:rsidR="00556141" w:rsidRDefault="00556141">
            <w:pPr>
              <w:jc w:val="right"/>
            </w:pPr>
            <w:hyperlink r:id="rId7" w:history="1">
              <w:r>
                <w:rPr>
                  <w:rStyle w:val="Hyperlink"/>
                </w:rPr>
                <w:t>Print</w:t>
              </w:r>
            </w:hyperlink>
            <w:r>
              <w:t>  </w:t>
            </w:r>
            <w:r>
              <w:rPr>
                <w:color w:val="CCCCCC"/>
              </w:rPr>
              <w:t>|</w:t>
            </w:r>
            <w:r>
              <w:t>  </w:t>
            </w:r>
            <w:hyperlink r:id="rId8" w:history="1">
              <w:r>
                <w:rPr>
                  <w:rStyle w:val="Hyperlink"/>
                </w:rPr>
                <w:t>Close Window</w:t>
              </w:r>
            </w:hyperlink>
          </w:p>
        </w:tc>
        <w:tc>
          <w:tcPr>
            <w:tcW w:w="150" w:type="dxa"/>
            <w:vAlign w:val="center"/>
            <w:hideMark/>
          </w:tcPr>
          <w:p w14:paraId="738F60F1" w14:textId="34BCEEBC" w:rsidR="00556141" w:rsidRDefault="00556141">
            <w:r>
              <w:rPr>
                <w:noProof/>
              </w:rPr>
              <mc:AlternateContent>
                <mc:Choice Requires="wps">
                  <w:drawing>
                    <wp:inline distT="0" distB="0" distL="0" distR="0" wp14:anchorId="55933F8A" wp14:editId="2302928D">
                      <wp:extent cx="95250" cy="95250"/>
                      <wp:effectExtent l="0" t="0" r="0" b="0"/>
                      <wp:docPr id="1123237919"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CF7FA" id="Rectangl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7C06A3C1" w14:textId="77777777" w:rsidR="00556141" w:rsidRDefault="00556141" w:rsidP="00556141"/>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56141" w14:paraId="1EA31228" w14:textId="77777777" w:rsidTr="00556141">
        <w:trPr>
          <w:tblCellSpacing w:w="0" w:type="dxa"/>
        </w:trPr>
        <w:tc>
          <w:tcPr>
            <w:tcW w:w="150" w:type="dxa"/>
            <w:vAlign w:val="center"/>
            <w:hideMark/>
          </w:tcPr>
          <w:p w14:paraId="25C513A8" w14:textId="31B30916" w:rsidR="00556141" w:rsidRDefault="00556141">
            <w:r>
              <w:rPr>
                <w:noProof/>
              </w:rPr>
              <mc:AlternateContent>
                <mc:Choice Requires="wps">
                  <w:drawing>
                    <wp:inline distT="0" distB="0" distL="0" distR="0" wp14:anchorId="0CF96D00" wp14:editId="00B16D19">
                      <wp:extent cx="95250" cy="95250"/>
                      <wp:effectExtent l="0" t="0" r="0" b="0"/>
                      <wp:docPr id="805326889"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281A8" id="Rectangl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556141" w14:paraId="6FA86110" w14:textId="77777777">
              <w:trPr>
                <w:tblCellSpacing w:w="0" w:type="dxa"/>
              </w:trPr>
              <w:tc>
                <w:tcPr>
                  <w:tcW w:w="0" w:type="auto"/>
                  <w:vAlign w:val="center"/>
                  <w:hideMark/>
                </w:tcPr>
                <w:p w14:paraId="148FE748" w14:textId="77777777" w:rsidR="00556141" w:rsidRDefault="00556141">
                  <w:pPr>
                    <w:jc w:val="center"/>
                  </w:pPr>
                  <w:r>
                    <w:br/>
                  </w:r>
                  <w:r>
                    <w:rPr>
                      <w:b/>
                      <w:bCs/>
                    </w:rPr>
                    <w:t>Note:</w:t>
                  </w:r>
                  <w:r>
                    <w:t xml:space="preserve"> Large images and tables on this page may necessitate printing in landscape mode.</w:t>
                  </w:r>
                  <w:r>
                    <w:br/>
                  </w:r>
                </w:p>
              </w:tc>
            </w:tr>
          </w:tbl>
          <w:p w14:paraId="29A08D96" w14:textId="77777777" w:rsidR="00556141" w:rsidRDefault="00556141"/>
        </w:tc>
        <w:tc>
          <w:tcPr>
            <w:tcW w:w="150" w:type="dxa"/>
            <w:vAlign w:val="center"/>
            <w:hideMark/>
          </w:tcPr>
          <w:p w14:paraId="0F648731" w14:textId="126D320D" w:rsidR="00556141" w:rsidRDefault="00556141">
            <w:pPr>
              <w:rPr>
                <w:sz w:val="24"/>
                <w:szCs w:val="24"/>
              </w:rPr>
            </w:pPr>
            <w:r>
              <w:rPr>
                <w:noProof/>
              </w:rPr>
              <mc:AlternateContent>
                <mc:Choice Requires="wps">
                  <w:drawing>
                    <wp:inline distT="0" distB="0" distL="0" distR="0" wp14:anchorId="57D740A3" wp14:editId="0FF05803">
                      <wp:extent cx="95250" cy="95250"/>
                      <wp:effectExtent l="0" t="0" r="0" b="0"/>
                      <wp:docPr id="1996181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5F614" id="Rectangle 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70FC5A93" w14:textId="77777777" w:rsidR="00556141" w:rsidRDefault="00556141" w:rsidP="00556141"/>
    <w:p w14:paraId="1C2BB5A3" w14:textId="77777777" w:rsidR="00556141" w:rsidRDefault="00556141" w:rsidP="00556141"/>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56141" w14:paraId="74F5DCAB" w14:textId="77777777" w:rsidTr="00556141">
        <w:trPr>
          <w:tblCellSpacing w:w="0" w:type="dxa"/>
        </w:trPr>
        <w:tc>
          <w:tcPr>
            <w:tcW w:w="150" w:type="dxa"/>
            <w:vAlign w:val="center"/>
            <w:hideMark/>
          </w:tcPr>
          <w:p w14:paraId="53E3E7FC" w14:textId="29BA9BBA" w:rsidR="00556141" w:rsidRDefault="00556141">
            <w:r>
              <w:rPr>
                <w:noProof/>
              </w:rPr>
              <mc:AlternateContent>
                <mc:Choice Requires="wps">
                  <w:drawing>
                    <wp:inline distT="0" distB="0" distL="0" distR="0" wp14:anchorId="77D78A6C" wp14:editId="1DBAFE4D">
                      <wp:extent cx="95250" cy="95250"/>
                      <wp:effectExtent l="0" t="0" r="0" b="0"/>
                      <wp:docPr id="528054583"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3FDFA" id="Rectangle 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69478A1B" w14:textId="77777777" w:rsidR="00556141" w:rsidRDefault="00556141">
            <w:pPr>
              <w:spacing w:after="240"/>
            </w:pPr>
            <w:r>
              <w:rPr>
                <w:b/>
                <w:bCs/>
              </w:rPr>
              <w:t>Applied Biopharmaceutics &amp; Pharmacokinetics &gt; Chapter 4. Multicompartment Models: Intravenous Bolus Administration &gt;</w:t>
            </w:r>
            <w:bookmarkStart w:id="0" w:name="2486046"/>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14007DA9" w14:textId="77777777">
              <w:trPr>
                <w:tblCellSpacing w:w="0" w:type="dxa"/>
              </w:trPr>
              <w:tc>
                <w:tcPr>
                  <w:tcW w:w="0" w:type="auto"/>
                  <w:shd w:val="clear" w:color="auto" w:fill="FFFFFF"/>
                  <w:hideMark/>
                </w:tcPr>
                <w:p w14:paraId="788A2CA9" w14:textId="77777777" w:rsidR="00556141" w:rsidRDefault="00556141">
                  <w:pPr>
                    <w:pStyle w:val="contenthead1"/>
                  </w:pPr>
                  <w:r>
                    <w:t>Multicompartment Models: Intravenous Bolus Administration: Introduction</w:t>
                  </w:r>
                </w:p>
                <w:p w14:paraId="67E03D16" w14:textId="77777777" w:rsidR="00556141" w:rsidRDefault="00556141">
                  <w:pPr>
                    <w:pStyle w:val="contentbody"/>
                  </w:pPr>
                  <w:bookmarkStart w:id="1" w:name="2486047"/>
                  <w:bookmarkEnd w:id="1"/>
                  <w:r>
                    <w:t>Pharmacokinetic models may be used to represent drug distribution and elimination in the body. Ideally, a model should mimic closely the physiologic processes in the body. In practice, models seldom consider all the rate processes ongoing in the body and are therefore simplified mathematical expressions. The inability to measure all the rate processes in the body, including the lack of access to biological samples from the interior of the body, limits the sophistication of a model. Compartmental models are classical pharmacokinetic models that simulate the kinetic processes of drug absorption, distribution, and elimination with little physiologic detail. In contrast, the more sophisticated physiologic model is discussed in . In compartmental models, drug tissue concentration is assumed to be uniform within a given hypothetical compartment. Hence, all muscle mass and connective tissues may be lumped into one hypothetical tissue compartment that equilibrates with drug from the central (or plasma) compartment. Since no data is collected on the tissue mass, the theoretical tissue concentration is unconstrained and cannot be used to forecast actual tissue drug levels. However, tissue drug uptake and tissue drug binding from the plasma fluid is kinetically simulated by considering the presence of a tissue compartment. Indeed, most drugs given by IV bolus dose decline rapidly soon after injection, and then decline moderately as some of the drug initially distributes into the tissue moves back into the plasma.</w:t>
                  </w:r>
                </w:p>
                <w:p w14:paraId="20947233" w14:textId="6183D180" w:rsidR="00556141" w:rsidRDefault="00556141">
                  <w:pPr>
                    <w:pStyle w:val="contentbody"/>
                  </w:pPr>
                  <w:bookmarkStart w:id="2" w:name="2486048"/>
                  <w:bookmarkEnd w:id="2"/>
                  <w:r>
                    <w:t xml:space="preserve">Multicompartment models were developed to explain this observation that, after a rapid IV injection, the plasma level–time curve does not decline linearly as a single, first-order rate process. The plasma level–time curve reflects first-order elimination of the drug from the body only after distribution equilibrium, or plasma drug equilibrium with peripheral tissues occurs. Drug kinetics after distribution is characterized by the first-order rate constant, </w:t>
                  </w:r>
                  <w:r>
                    <w:rPr>
                      <w:i/>
                      <w:iCs/>
                    </w:rPr>
                    <w:t>b</w:t>
                  </w:r>
                  <w:r>
                    <w:t xml:space="preserve"> (or beta, </w:t>
                  </w:r>
                  <w:r>
                    <w:rPr>
                      <w:noProof/>
                    </w:rPr>
                    <mc:AlternateContent>
                      <mc:Choice Requires="wps">
                        <w:drawing>
                          <wp:inline distT="0" distB="0" distL="0" distR="0" wp14:anchorId="22E64FF1" wp14:editId="130C7F7E">
                            <wp:extent cx="304800" cy="304800"/>
                            <wp:effectExtent l="0" t="0" r="0" b="0"/>
                            <wp:docPr id="1399076270"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4BB0D" id="Rectangle 1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w:t>
                  </w:r>
                </w:p>
                <w:p w14:paraId="79EDD601" w14:textId="77777777" w:rsidR="00556141" w:rsidRDefault="00556141">
                  <w:pPr>
                    <w:pStyle w:val="contentbody"/>
                  </w:pPr>
                  <w:bookmarkStart w:id="3" w:name="2486049"/>
                  <w:bookmarkEnd w:id="3"/>
                  <w:r>
                    <w:t xml:space="preserve">Nonlinear plasma level–time curves occur because some drugs distribute at various rates into different tissue groups. Multicompartment models were developed to explain and predict plasma and tissue concentrations for the behavior of these drugs. In contrast, a one-compartment model is used when the drug appears to distribute into tissues instantaneously and uniformly. For both one- and multicompartment models, the drug in the tissues that have the highest blood perfusion equilibrates rapidly with the drug in the plasma. These highly perfused tissues and blood make up the </w:t>
                  </w:r>
                  <w:r>
                    <w:rPr>
                      <w:i/>
                      <w:iCs/>
                    </w:rPr>
                    <w:t>central compartment</w:t>
                  </w:r>
                  <w:r>
                    <w:t xml:space="preserve">. While this initial drug distribution is taking place, multicompartment drugs are delivered concurrently to one or more </w:t>
                  </w:r>
                  <w:r>
                    <w:rPr>
                      <w:i/>
                      <w:iCs/>
                    </w:rPr>
                    <w:t>peripheral compartments</w:t>
                  </w:r>
                  <w:r>
                    <w:t xml:space="preserve"> composed of groups of tissues with lower blood perfusion and different affinity for the drug. A drug will concentrate in a tissue in accordance with the affinity of the drug for that particular tissue. For example, lipid-soluble drugs tend to accumulate in fat tissues. Drugs that bind plasma proteins may be more concentrated in the plasma, because protein-bound drugs do not diffuse easily into the tissues. Drugs may also bind with tissue proteins and other macromolecules, such as DNA and melanin. Tissue sampling is invasive, and the drug concentration in the tissue sample may not represent the drug concentration in the entire organ. Occasionally, tissue samples may be collected after a drug-overdose episode. For example, the two-compartment model has been used to describe the distribution of colchicine, even though the drug's toxic tissue levels after fatal overdoses has only been recently described (). The drug isotretinoin has a long half-life because of substantial distribution into lipid tissues.</w:t>
                  </w:r>
                </w:p>
                <w:p w14:paraId="3437EF82" w14:textId="77777777" w:rsidR="00556141" w:rsidRDefault="00556141">
                  <w:pPr>
                    <w:pStyle w:val="contentbody"/>
                  </w:pPr>
                  <w:bookmarkStart w:id="4" w:name="2486050"/>
                  <w:bookmarkEnd w:id="4"/>
                  <w:r>
                    <w:t xml:space="preserve">Kinetic analysis of a multicompartment model assumes that all transfer rate processes for the passage of </w:t>
                  </w:r>
                  <w:r>
                    <w:lastRenderedPageBreak/>
                    <w:t>drug into or out of individual compartments are first-order processes. On the basis of this assumption, the plasma level–time curve for a drug that follows a multicompartment model is best described by the summation of a series of exponential terms, each corresponding to first-order rate processes associated with a given compartment.</w:t>
                  </w:r>
                </w:p>
                <w:p w14:paraId="60EC0D8A" w14:textId="77777777" w:rsidR="00556141" w:rsidRDefault="00556141">
                  <w:pPr>
                    <w:pStyle w:val="contentbody"/>
                  </w:pPr>
                  <w:bookmarkStart w:id="5" w:name="2486051"/>
                  <w:bookmarkEnd w:id="5"/>
                  <w:r>
                    <w:t>Because of these distribution factors, drugs will generally concentrate unevenly in the tissues, and different groups of tissues will accumulate the drug at different rates. A summary of the approximate blood flow to major human tissues is presented in . Many different tissues and rate processes are involved in the distribution of any drug. However, limited physiologic significance has been assigned to a few groups of tissues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178"/>
                  </w:tblGrid>
                  <w:tr w:rsidR="00556141" w14:paraId="748F03EF"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148"/>
                        </w:tblGrid>
                        <w:tr w:rsidR="00556141" w14:paraId="7C936426" w14:textId="77777777">
                          <w:trPr>
                            <w:tblCellSpacing w:w="0" w:type="dxa"/>
                          </w:trPr>
                          <w:tc>
                            <w:tcPr>
                              <w:tcW w:w="0" w:type="auto"/>
                              <w:vAlign w:val="center"/>
                              <w:hideMark/>
                            </w:tcPr>
                            <w:p w14:paraId="5AD053A1" w14:textId="77777777" w:rsidR="00556141" w:rsidRDefault="00556141">
                              <w:pPr>
                                <w:pStyle w:val="tabletitle"/>
                              </w:pPr>
                              <w:bookmarkStart w:id="6" w:name="2486256"/>
                              <w:bookmarkEnd w:id="6"/>
                              <w:r>
                                <w:t>Table 4.1 Blood Flow to Human Tissues</w:t>
                              </w:r>
                            </w:p>
                            <w:p w14:paraId="052521EE" w14:textId="77777777" w:rsidR="00556141" w:rsidRDefault="00556141"/>
                          </w:tc>
                        </w:tr>
                      </w:tbl>
                      <w:p w14:paraId="3D760AF4" w14:textId="77777777" w:rsidR="00556141" w:rsidRDefault="00556141"/>
                    </w:tc>
                  </w:tr>
                  <w:tr w:rsidR="00556141" w14:paraId="5265960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048"/>
                          <w:gridCol w:w="2109"/>
                          <w:gridCol w:w="2377"/>
                          <w:gridCol w:w="3644"/>
                        </w:tblGrid>
                        <w:tr w:rsidR="00556141" w14:paraId="4C050B9E" w14:textId="77777777">
                          <w:trPr>
                            <w:tblHeader/>
                            <w:tblCellSpacing w:w="7" w:type="dxa"/>
                          </w:trPr>
                          <w:tc>
                            <w:tcPr>
                              <w:tcW w:w="0" w:type="auto"/>
                              <w:shd w:val="clear" w:color="auto" w:fill="FFFFFF"/>
                              <w:hideMark/>
                            </w:tcPr>
                            <w:p w14:paraId="2D96EB1A" w14:textId="77777777" w:rsidR="00556141" w:rsidRDefault="00556141">
                              <w:pPr>
                                <w:rPr>
                                  <w:b/>
                                  <w:bCs/>
                                  <w:sz w:val="24"/>
                                  <w:szCs w:val="24"/>
                                </w:rPr>
                              </w:pPr>
                              <w:r>
                                <w:rPr>
                                  <w:b/>
                                  <w:bCs/>
                                </w:rPr>
                                <w:t>Tissue</w:t>
                              </w:r>
                            </w:p>
                          </w:tc>
                          <w:tc>
                            <w:tcPr>
                              <w:tcW w:w="0" w:type="auto"/>
                              <w:shd w:val="clear" w:color="auto" w:fill="FFFFFF"/>
                              <w:hideMark/>
                            </w:tcPr>
                            <w:p w14:paraId="11C600EA" w14:textId="77777777" w:rsidR="00556141" w:rsidRDefault="00556141">
                              <w:pPr>
                                <w:rPr>
                                  <w:b/>
                                  <w:bCs/>
                                </w:rPr>
                              </w:pPr>
                              <w:r>
                                <w:rPr>
                                  <w:b/>
                                  <w:bCs/>
                                </w:rPr>
                                <w:t>Percent Body Weight</w:t>
                              </w:r>
                            </w:p>
                          </w:tc>
                          <w:tc>
                            <w:tcPr>
                              <w:tcW w:w="0" w:type="auto"/>
                              <w:shd w:val="clear" w:color="auto" w:fill="FFFFFF"/>
                              <w:hideMark/>
                            </w:tcPr>
                            <w:p w14:paraId="741DDAE2" w14:textId="77777777" w:rsidR="00556141" w:rsidRDefault="00556141">
                              <w:pPr>
                                <w:rPr>
                                  <w:b/>
                                  <w:bCs/>
                                </w:rPr>
                              </w:pPr>
                              <w:r>
                                <w:rPr>
                                  <w:b/>
                                  <w:bCs/>
                                </w:rPr>
                                <w:t>Percent Cardiac Output</w:t>
                              </w:r>
                            </w:p>
                          </w:tc>
                          <w:tc>
                            <w:tcPr>
                              <w:tcW w:w="0" w:type="auto"/>
                              <w:shd w:val="clear" w:color="auto" w:fill="FFFFFF"/>
                              <w:hideMark/>
                            </w:tcPr>
                            <w:p w14:paraId="3863140D" w14:textId="77777777" w:rsidR="00556141" w:rsidRDefault="00556141">
                              <w:pPr>
                                <w:rPr>
                                  <w:b/>
                                  <w:bCs/>
                                </w:rPr>
                              </w:pPr>
                              <w:r>
                                <w:rPr>
                                  <w:b/>
                                  <w:bCs/>
                                </w:rPr>
                                <w:t>Blood Flow (mL/100 g tissue per min)</w:t>
                              </w:r>
                            </w:p>
                          </w:tc>
                        </w:tr>
                        <w:tr w:rsidR="00556141" w14:paraId="0BFF42C6" w14:textId="77777777">
                          <w:trPr>
                            <w:tblCellSpacing w:w="7" w:type="dxa"/>
                          </w:trPr>
                          <w:tc>
                            <w:tcPr>
                              <w:tcW w:w="0" w:type="auto"/>
                              <w:shd w:val="clear" w:color="auto" w:fill="FFFFFF"/>
                              <w:hideMark/>
                            </w:tcPr>
                            <w:p w14:paraId="789B7E84" w14:textId="77777777" w:rsidR="00556141" w:rsidRDefault="00556141">
                              <w:r>
                                <w:t>Adrenals</w:t>
                              </w:r>
                            </w:p>
                          </w:tc>
                          <w:tc>
                            <w:tcPr>
                              <w:tcW w:w="0" w:type="auto"/>
                              <w:shd w:val="clear" w:color="auto" w:fill="FFFFFF"/>
                              <w:hideMark/>
                            </w:tcPr>
                            <w:p w14:paraId="00519128" w14:textId="77777777" w:rsidR="00556141" w:rsidRDefault="00556141">
                              <w:r>
                                <w:t>0.02</w:t>
                              </w:r>
                            </w:p>
                          </w:tc>
                          <w:tc>
                            <w:tcPr>
                              <w:tcW w:w="0" w:type="auto"/>
                              <w:shd w:val="clear" w:color="auto" w:fill="FFFFFF"/>
                              <w:hideMark/>
                            </w:tcPr>
                            <w:p w14:paraId="543A611B" w14:textId="77777777" w:rsidR="00556141" w:rsidRDefault="00556141">
                              <w:r>
                                <w:t>1</w:t>
                              </w:r>
                            </w:p>
                          </w:tc>
                          <w:tc>
                            <w:tcPr>
                              <w:tcW w:w="0" w:type="auto"/>
                              <w:shd w:val="clear" w:color="auto" w:fill="FFFFFF"/>
                              <w:hideMark/>
                            </w:tcPr>
                            <w:p w14:paraId="5EAC1DC7" w14:textId="77777777" w:rsidR="00556141" w:rsidRDefault="00556141">
                              <w:r>
                                <w:t>550</w:t>
                              </w:r>
                            </w:p>
                          </w:tc>
                        </w:tr>
                        <w:tr w:rsidR="00556141" w14:paraId="1B74AE75" w14:textId="77777777">
                          <w:trPr>
                            <w:tblCellSpacing w:w="7" w:type="dxa"/>
                          </w:trPr>
                          <w:tc>
                            <w:tcPr>
                              <w:tcW w:w="0" w:type="auto"/>
                              <w:shd w:val="clear" w:color="auto" w:fill="FFFFFF"/>
                              <w:hideMark/>
                            </w:tcPr>
                            <w:p w14:paraId="5AB1537C" w14:textId="77777777" w:rsidR="00556141" w:rsidRDefault="00556141">
                              <w:r>
                                <w:t>Kidneys</w:t>
                              </w:r>
                            </w:p>
                          </w:tc>
                          <w:tc>
                            <w:tcPr>
                              <w:tcW w:w="0" w:type="auto"/>
                              <w:shd w:val="clear" w:color="auto" w:fill="FFFFFF"/>
                              <w:hideMark/>
                            </w:tcPr>
                            <w:p w14:paraId="5FDCA6AB" w14:textId="77777777" w:rsidR="00556141" w:rsidRDefault="00556141">
                              <w:r>
                                <w:t>0.4</w:t>
                              </w:r>
                            </w:p>
                          </w:tc>
                          <w:tc>
                            <w:tcPr>
                              <w:tcW w:w="0" w:type="auto"/>
                              <w:shd w:val="clear" w:color="auto" w:fill="FFFFFF"/>
                              <w:hideMark/>
                            </w:tcPr>
                            <w:p w14:paraId="2EF2DA2B" w14:textId="77777777" w:rsidR="00556141" w:rsidRDefault="00556141">
                              <w:r>
                                <w:t>24</w:t>
                              </w:r>
                            </w:p>
                          </w:tc>
                          <w:tc>
                            <w:tcPr>
                              <w:tcW w:w="0" w:type="auto"/>
                              <w:shd w:val="clear" w:color="auto" w:fill="FFFFFF"/>
                              <w:hideMark/>
                            </w:tcPr>
                            <w:p w14:paraId="35A87A9D" w14:textId="77777777" w:rsidR="00556141" w:rsidRDefault="00556141">
                              <w:r>
                                <w:t>450</w:t>
                              </w:r>
                            </w:p>
                          </w:tc>
                        </w:tr>
                        <w:tr w:rsidR="00556141" w14:paraId="407382C5" w14:textId="77777777">
                          <w:trPr>
                            <w:tblCellSpacing w:w="7" w:type="dxa"/>
                          </w:trPr>
                          <w:tc>
                            <w:tcPr>
                              <w:tcW w:w="0" w:type="auto"/>
                              <w:shd w:val="clear" w:color="auto" w:fill="FFFFFF"/>
                              <w:hideMark/>
                            </w:tcPr>
                            <w:p w14:paraId="665574AD" w14:textId="77777777" w:rsidR="00556141" w:rsidRDefault="00556141">
                              <w:r>
                                <w:t>Thyroid</w:t>
                              </w:r>
                            </w:p>
                          </w:tc>
                          <w:tc>
                            <w:tcPr>
                              <w:tcW w:w="0" w:type="auto"/>
                              <w:shd w:val="clear" w:color="auto" w:fill="FFFFFF"/>
                              <w:hideMark/>
                            </w:tcPr>
                            <w:p w14:paraId="7769F732" w14:textId="77777777" w:rsidR="00556141" w:rsidRDefault="00556141">
                              <w:r>
                                <w:t>0.04</w:t>
                              </w:r>
                            </w:p>
                          </w:tc>
                          <w:tc>
                            <w:tcPr>
                              <w:tcW w:w="0" w:type="auto"/>
                              <w:shd w:val="clear" w:color="auto" w:fill="FFFFFF"/>
                              <w:hideMark/>
                            </w:tcPr>
                            <w:p w14:paraId="373D3E03" w14:textId="77777777" w:rsidR="00556141" w:rsidRDefault="00556141">
                              <w:r>
                                <w:t>2</w:t>
                              </w:r>
                            </w:p>
                          </w:tc>
                          <w:tc>
                            <w:tcPr>
                              <w:tcW w:w="0" w:type="auto"/>
                              <w:shd w:val="clear" w:color="auto" w:fill="FFFFFF"/>
                              <w:hideMark/>
                            </w:tcPr>
                            <w:p w14:paraId="4380D4E1" w14:textId="77777777" w:rsidR="00556141" w:rsidRDefault="00556141">
                              <w:r>
                                <w:t>400</w:t>
                              </w:r>
                            </w:p>
                          </w:tc>
                        </w:tr>
                        <w:tr w:rsidR="00556141" w14:paraId="2C8A8581" w14:textId="77777777">
                          <w:trPr>
                            <w:tblCellSpacing w:w="7" w:type="dxa"/>
                          </w:trPr>
                          <w:tc>
                            <w:tcPr>
                              <w:tcW w:w="0" w:type="auto"/>
                              <w:shd w:val="clear" w:color="auto" w:fill="FFFFFF"/>
                              <w:hideMark/>
                            </w:tcPr>
                            <w:p w14:paraId="2A6CA0E6" w14:textId="77777777" w:rsidR="00556141" w:rsidRDefault="00556141">
                              <w:r>
                                <w:t>Liver</w:t>
                              </w:r>
                            </w:p>
                          </w:tc>
                          <w:tc>
                            <w:tcPr>
                              <w:tcW w:w="0" w:type="auto"/>
                              <w:shd w:val="clear" w:color="auto" w:fill="FFFFFF"/>
                              <w:hideMark/>
                            </w:tcPr>
                            <w:p w14:paraId="24656F86" w14:textId="77777777" w:rsidR="00556141" w:rsidRDefault="00556141">
                              <w:r>
                                <w:t> </w:t>
                              </w:r>
                            </w:p>
                          </w:tc>
                          <w:tc>
                            <w:tcPr>
                              <w:tcW w:w="0" w:type="auto"/>
                              <w:shd w:val="clear" w:color="auto" w:fill="FFFFFF"/>
                              <w:hideMark/>
                            </w:tcPr>
                            <w:p w14:paraId="62742498" w14:textId="77777777" w:rsidR="00556141" w:rsidRDefault="00556141">
                              <w:r>
                                <w:t> </w:t>
                              </w:r>
                            </w:p>
                          </w:tc>
                          <w:tc>
                            <w:tcPr>
                              <w:tcW w:w="0" w:type="auto"/>
                              <w:shd w:val="clear" w:color="auto" w:fill="FFFFFF"/>
                              <w:hideMark/>
                            </w:tcPr>
                            <w:p w14:paraId="1CACCEE9" w14:textId="77777777" w:rsidR="00556141" w:rsidRDefault="00556141">
                              <w:r>
                                <w:t> </w:t>
                              </w:r>
                            </w:p>
                          </w:tc>
                        </w:tr>
                        <w:tr w:rsidR="00556141" w14:paraId="2F8EDC00" w14:textId="77777777">
                          <w:trPr>
                            <w:tblCellSpacing w:w="7" w:type="dxa"/>
                          </w:trPr>
                          <w:tc>
                            <w:tcPr>
                              <w:tcW w:w="0" w:type="auto"/>
                              <w:shd w:val="clear" w:color="auto" w:fill="FFFFFF"/>
                              <w:hideMark/>
                            </w:tcPr>
                            <w:p w14:paraId="59307CEE" w14:textId="77777777" w:rsidR="00556141" w:rsidRDefault="00556141">
                              <w:r>
                                <w:t>  Hepatic</w:t>
                              </w:r>
                            </w:p>
                          </w:tc>
                          <w:tc>
                            <w:tcPr>
                              <w:tcW w:w="0" w:type="auto"/>
                              <w:shd w:val="clear" w:color="auto" w:fill="FFFFFF"/>
                              <w:hideMark/>
                            </w:tcPr>
                            <w:p w14:paraId="343592D9" w14:textId="77777777" w:rsidR="00556141" w:rsidRDefault="00556141">
                              <w:r>
                                <w:t>2.0</w:t>
                              </w:r>
                            </w:p>
                          </w:tc>
                          <w:tc>
                            <w:tcPr>
                              <w:tcW w:w="0" w:type="auto"/>
                              <w:shd w:val="clear" w:color="auto" w:fill="FFFFFF"/>
                              <w:hideMark/>
                            </w:tcPr>
                            <w:p w14:paraId="064F6740" w14:textId="77777777" w:rsidR="00556141" w:rsidRDefault="00556141">
                              <w:r>
                                <w:t>5</w:t>
                              </w:r>
                            </w:p>
                          </w:tc>
                          <w:tc>
                            <w:tcPr>
                              <w:tcW w:w="0" w:type="auto"/>
                              <w:shd w:val="clear" w:color="auto" w:fill="FFFFFF"/>
                              <w:hideMark/>
                            </w:tcPr>
                            <w:p w14:paraId="2F38C29D" w14:textId="77777777" w:rsidR="00556141" w:rsidRDefault="00556141">
                              <w:r>
                                <w:t>20</w:t>
                              </w:r>
                            </w:p>
                          </w:tc>
                        </w:tr>
                        <w:tr w:rsidR="00556141" w14:paraId="2F970221" w14:textId="77777777">
                          <w:trPr>
                            <w:tblCellSpacing w:w="7" w:type="dxa"/>
                          </w:trPr>
                          <w:tc>
                            <w:tcPr>
                              <w:tcW w:w="0" w:type="auto"/>
                              <w:shd w:val="clear" w:color="auto" w:fill="FFFFFF"/>
                              <w:hideMark/>
                            </w:tcPr>
                            <w:p w14:paraId="169AB31C" w14:textId="77777777" w:rsidR="00556141" w:rsidRDefault="00556141">
                              <w:r>
                                <w:t>  Portal</w:t>
                              </w:r>
                            </w:p>
                          </w:tc>
                          <w:tc>
                            <w:tcPr>
                              <w:tcW w:w="0" w:type="auto"/>
                              <w:shd w:val="clear" w:color="auto" w:fill="FFFFFF"/>
                              <w:hideMark/>
                            </w:tcPr>
                            <w:p w14:paraId="47D5FB1C" w14:textId="77777777" w:rsidR="00556141" w:rsidRDefault="00556141">
                              <w:r>
                                <w:t> </w:t>
                              </w:r>
                            </w:p>
                          </w:tc>
                          <w:tc>
                            <w:tcPr>
                              <w:tcW w:w="0" w:type="auto"/>
                              <w:shd w:val="clear" w:color="auto" w:fill="FFFFFF"/>
                              <w:hideMark/>
                            </w:tcPr>
                            <w:p w14:paraId="770F3503" w14:textId="77777777" w:rsidR="00556141" w:rsidRDefault="00556141">
                              <w:r>
                                <w:t>20</w:t>
                              </w:r>
                            </w:p>
                          </w:tc>
                          <w:tc>
                            <w:tcPr>
                              <w:tcW w:w="0" w:type="auto"/>
                              <w:shd w:val="clear" w:color="auto" w:fill="FFFFFF"/>
                              <w:hideMark/>
                            </w:tcPr>
                            <w:p w14:paraId="1D71BE1C" w14:textId="77777777" w:rsidR="00556141" w:rsidRDefault="00556141">
                              <w:r>
                                <w:t>75</w:t>
                              </w:r>
                            </w:p>
                          </w:tc>
                        </w:tr>
                        <w:tr w:rsidR="00556141" w14:paraId="69CC6D9D" w14:textId="77777777">
                          <w:trPr>
                            <w:tblCellSpacing w:w="7" w:type="dxa"/>
                          </w:trPr>
                          <w:tc>
                            <w:tcPr>
                              <w:tcW w:w="0" w:type="auto"/>
                              <w:shd w:val="clear" w:color="auto" w:fill="FFFFFF"/>
                              <w:hideMark/>
                            </w:tcPr>
                            <w:p w14:paraId="4F396A2E" w14:textId="77777777" w:rsidR="00556141" w:rsidRDefault="00556141">
                              <w:r>
                                <w:t>Portal-drained viscera</w:t>
                              </w:r>
                            </w:p>
                          </w:tc>
                          <w:tc>
                            <w:tcPr>
                              <w:tcW w:w="0" w:type="auto"/>
                              <w:shd w:val="clear" w:color="auto" w:fill="FFFFFF"/>
                              <w:hideMark/>
                            </w:tcPr>
                            <w:p w14:paraId="68AB3768" w14:textId="77777777" w:rsidR="00556141" w:rsidRDefault="00556141">
                              <w:r>
                                <w:t>2.0</w:t>
                              </w:r>
                            </w:p>
                          </w:tc>
                          <w:tc>
                            <w:tcPr>
                              <w:tcW w:w="0" w:type="auto"/>
                              <w:shd w:val="clear" w:color="auto" w:fill="FFFFFF"/>
                              <w:hideMark/>
                            </w:tcPr>
                            <w:p w14:paraId="0B7982AD" w14:textId="77777777" w:rsidR="00556141" w:rsidRDefault="00556141">
                              <w:r>
                                <w:t>20</w:t>
                              </w:r>
                            </w:p>
                          </w:tc>
                          <w:tc>
                            <w:tcPr>
                              <w:tcW w:w="0" w:type="auto"/>
                              <w:shd w:val="clear" w:color="auto" w:fill="FFFFFF"/>
                              <w:hideMark/>
                            </w:tcPr>
                            <w:p w14:paraId="4F96DDEB" w14:textId="77777777" w:rsidR="00556141" w:rsidRDefault="00556141">
                              <w:r>
                                <w:t>75</w:t>
                              </w:r>
                            </w:p>
                          </w:tc>
                        </w:tr>
                        <w:tr w:rsidR="00556141" w14:paraId="27F4D1C4" w14:textId="77777777">
                          <w:trPr>
                            <w:tblCellSpacing w:w="7" w:type="dxa"/>
                          </w:trPr>
                          <w:tc>
                            <w:tcPr>
                              <w:tcW w:w="0" w:type="auto"/>
                              <w:shd w:val="clear" w:color="auto" w:fill="FFFFFF"/>
                              <w:hideMark/>
                            </w:tcPr>
                            <w:p w14:paraId="629619CB" w14:textId="77777777" w:rsidR="00556141" w:rsidRDefault="00556141">
                              <w:r>
                                <w:t>Heart (basal)</w:t>
                              </w:r>
                            </w:p>
                          </w:tc>
                          <w:tc>
                            <w:tcPr>
                              <w:tcW w:w="0" w:type="auto"/>
                              <w:shd w:val="clear" w:color="auto" w:fill="FFFFFF"/>
                              <w:hideMark/>
                            </w:tcPr>
                            <w:p w14:paraId="336860F5" w14:textId="77777777" w:rsidR="00556141" w:rsidRDefault="00556141">
                              <w:r>
                                <w:t>0.4</w:t>
                              </w:r>
                            </w:p>
                          </w:tc>
                          <w:tc>
                            <w:tcPr>
                              <w:tcW w:w="0" w:type="auto"/>
                              <w:shd w:val="clear" w:color="auto" w:fill="FFFFFF"/>
                              <w:hideMark/>
                            </w:tcPr>
                            <w:p w14:paraId="465C532C" w14:textId="77777777" w:rsidR="00556141" w:rsidRDefault="00556141">
                              <w:r>
                                <w:t>4</w:t>
                              </w:r>
                            </w:p>
                          </w:tc>
                          <w:tc>
                            <w:tcPr>
                              <w:tcW w:w="0" w:type="auto"/>
                              <w:shd w:val="clear" w:color="auto" w:fill="FFFFFF"/>
                              <w:hideMark/>
                            </w:tcPr>
                            <w:p w14:paraId="5EEF935A" w14:textId="77777777" w:rsidR="00556141" w:rsidRDefault="00556141">
                              <w:r>
                                <w:t>70</w:t>
                              </w:r>
                            </w:p>
                          </w:tc>
                        </w:tr>
                        <w:tr w:rsidR="00556141" w14:paraId="7C5F039D" w14:textId="77777777">
                          <w:trPr>
                            <w:tblCellSpacing w:w="7" w:type="dxa"/>
                          </w:trPr>
                          <w:tc>
                            <w:tcPr>
                              <w:tcW w:w="0" w:type="auto"/>
                              <w:shd w:val="clear" w:color="auto" w:fill="FFFFFF"/>
                              <w:hideMark/>
                            </w:tcPr>
                            <w:p w14:paraId="76201F85" w14:textId="77777777" w:rsidR="00556141" w:rsidRDefault="00556141">
                              <w:r>
                                <w:t>Brain</w:t>
                              </w:r>
                            </w:p>
                          </w:tc>
                          <w:tc>
                            <w:tcPr>
                              <w:tcW w:w="0" w:type="auto"/>
                              <w:shd w:val="clear" w:color="auto" w:fill="FFFFFF"/>
                              <w:hideMark/>
                            </w:tcPr>
                            <w:p w14:paraId="496630EB" w14:textId="77777777" w:rsidR="00556141" w:rsidRDefault="00556141">
                              <w:r>
                                <w:t>2.0</w:t>
                              </w:r>
                            </w:p>
                          </w:tc>
                          <w:tc>
                            <w:tcPr>
                              <w:tcW w:w="0" w:type="auto"/>
                              <w:shd w:val="clear" w:color="auto" w:fill="FFFFFF"/>
                              <w:hideMark/>
                            </w:tcPr>
                            <w:p w14:paraId="706F8E18" w14:textId="77777777" w:rsidR="00556141" w:rsidRDefault="00556141">
                              <w:r>
                                <w:t>15</w:t>
                              </w:r>
                            </w:p>
                          </w:tc>
                          <w:tc>
                            <w:tcPr>
                              <w:tcW w:w="0" w:type="auto"/>
                              <w:shd w:val="clear" w:color="auto" w:fill="FFFFFF"/>
                              <w:hideMark/>
                            </w:tcPr>
                            <w:p w14:paraId="02AB300D" w14:textId="77777777" w:rsidR="00556141" w:rsidRDefault="00556141">
                              <w:r>
                                <w:t>55</w:t>
                              </w:r>
                            </w:p>
                          </w:tc>
                        </w:tr>
                        <w:tr w:rsidR="00556141" w14:paraId="341AA3E0" w14:textId="77777777">
                          <w:trPr>
                            <w:tblCellSpacing w:w="7" w:type="dxa"/>
                          </w:trPr>
                          <w:tc>
                            <w:tcPr>
                              <w:tcW w:w="0" w:type="auto"/>
                              <w:shd w:val="clear" w:color="auto" w:fill="FFFFFF"/>
                              <w:hideMark/>
                            </w:tcPr>
                            <w:p w14:paraId="641A9446" w14:textId="77777777" w:rsidR="00556141" w:rsidRDefault="00556141">
                              <w:r>
                                <w:t>Skin</w:t>
                              </w:r>
                            </w:p>
                          </w:tc>
                          <w:tc>
                            <w:tcPr>
                              <w:tcW w:w="0" w:type="auto"/>
                              <w:shd w:val="clear" w:color="auto" w:fill="FFFFFF"/>
                              <w:hideMark/>
                            </w:tcPr>
                            <w:p w14:paraId="6AB7241C" w14:textId="77777777" w:rsidR="00556141" w:rsidRDefault="00556141">
                              <w:r>
                                <w:t>7.0</w:t>
                              </w:r>
                            </w:p>
                          </w:tc>
                          <w:tc>
                            <w:tcPr>
                              <w:tcW w:w="0" w:type="auto"/>
                              <w:shd w:val="clear" w:color="auto" w:fill="FFFFFF"/>
                              <w:hideMark/>
                            </w:tcPr>
                            <w:p w14:paraId="0EF1287B" w14:textId="77777777" w:rsidR="00556141" w:rsidRDefault="00556141">
                              <w:r>
                                <w:t>5</w:t>
                              </w:r>
                            </w:p>
                          </w:tc>
                          <w:tc>
                            <w:tcPr>
                              <w:tcW w:w="0" w:type="auto"/>
                              <w:shd w:val="clear" w:color="auto" w:fill="FFFFFF"/>
                              <w:hideMark/>
                            </w:tcPr>
                            <w:p w14:paraId="54AAB626" w14:textId="77777777" w:rsidR="00556141" w:rsidRDefault="00556141">
                              <w:r>
                                <w:t>5</w:t>
                              </w:r>
                            </w:p>
                          </w:tc>
                        </w:tr>
                        <w:tr w:rsidR="00556141" w14:paraId="1B040EF7" w14:textId="77777777">
                          <w:trPr>
                            <w:tblCellSpacing w:w="7" w:type="dxa"/>
                          </w:trPr>
                          <w:tc>
                            <w:tcPr>
                              <w:tcW w:w="0" w:type="auto"/>
                              <w:shd w:val="clear" w:color="auto" w:fill="FFFFFF"/>
                              <w:hideMark/>
                            </w:tcPr>
                            <w:p w14:paraId="7D0D9A91" w14:textId="77777777" w:rsidR="00556141" w:rsidRDefault="00556141">
                              <w:r>
                                <w:t>Muscle (basal)</w:t>
                              </w:r>
                            </w:p>
                          </w:tc>
                          <w:tc>
                            <w:tcPr>
                              <w:tcW w:w="0" w:type="auto"/>
                              <w:shd w:val="clear" w:color="auto" w:fill="FFFFFF"/>
                              <w:hideMark/>
                            </w:tcPr>
                            <w:p w14:paraId="0DEFB6D9" w14:textId="77777777" w:rsidR="00556141" w:rsidRDefault="00556141">
                              <w:r>
                                <w:t>40.0</w:t>
                              </w:r>
                            </w:p>
                          </w:tc>
                          <w:tc>
                            <w:tcPr>
                              <w:tcW w:w="0" w:type="auto"/>
                              <w:shd w:val="clear" w:color="auto" w:fill="FFFFFF"/>
                              <w:hideMark/>
                            </w:tcPr>
                            <w:p w14:paraId="40465436" w14:textId="77777777" w:rsidR="00556141" w:rsidRDefault="00556141">
                              <w:r>
                                <w:t>15</w:t>
                              </w:r>
                            </w:p>
                          </w:tc>
                          <w:tc>
                            <w:tcPr>
                              <w:tcW w:w="0" w:type="auto"/>
                              <w:shd w:val="clear" w:color="auto" w:fill="FFFFFF"/>
                              <w:hideMark/>
                            </w:tcPr>
                            <w:p w14:paraId="651969FE" w14:textId="77777777" w:rsidR="00556141" w:rsidRDefault="00556141">
                              <w:r>
                                <w:t>3</w:t>
                              </w:r>
                            </w:p>
                          </w:tc>
                        </w:tr>
                        <w:tr w:rsidR="00556141" w14:paraId="6D20B909" w14:textId="77777777">
                          <w:trPr>
                            <w:tblCellSpacing w:w="7" w:type="dxa"/>
                          </w:trPr>
                          <w:tc>
                            <w:tcPr>
                              <w:tcW w:w="0" w:type="auto"/>
                              <w:shd w:val="clear" w:color="auto" w:fill="FFFFFF"/>
                              <w:hideMark/>
                            </w:tcPr>
                            <w:p w14:paraId="05BEDD78" w14:textId="77777777" w:rsidR="00556141" w:rsidRDefault="00556141">
                              <w:r>
                                <w:t>Connective tissue</w:t>
                              </w:r>
                            </w:p>
                          </w:tc>
                          <w:tc>
                            <w:tcPr>
                              <w:tcW w:w="0" w:type="auto"/>
                              <w:shd w:val="clear" w:color="auto" w:fill="FFFFFF"/>
                              <w:hideMark/>
                            </w:tcPr>
                            <w:p w14:paraId="0642FFDE" w14:textId="77777777" w:rsidR="00556141" w:rsidRDefault="00556141">
                              <w:r>
                                <w:t>7.0</w:t>
                              </w:r>
                            </w:p>
                          </w:tc>
                          <w:tc>
                            <w:tcPr>
                              <w:tcW w:w="0" w:type="auto"/>
                              <w:shd w:val="clear" w:color="auto" w:fill="FFFFFF"/>
                              <w:hideMark/>
                            </w:tcPr>
                            <w:p w14:paraId="535E8EC3" w14:textId="77777777" w:rsidR="00556141" w:rsidRDefault="00556141">
                              <w:r>
                                <w:t>1</w:t>
                              </w:r>
                            </w:p>
                          </w:tc>
                          <w:tc>
                            <w:tcPr>
                              <w:tcW w:w="0" w:type="auto"/>
                              <w:shd w:val="clear" w:color="auto" w:fill="FFFFFF"/>
                              <w:hideMark/>
                            </w:tcPr>
                            <w:p w14:paraId="6D97A1A2" w14:textId="77777777" w:rsidR="00556141" w:rsidRDefault="00556141">
                              <w:r>
                                <w:t>1</w:t>
                              </w:r>
                            </w:p>
                          </w:tc>
                        </w:tr>
                        <w:tr w:rsidR="00556141" w14:paraId="34C962BD" w14:textId="77777777">
                          <w:trPr>
                            <w:tblCellSpacing w:w="7" w:type="dxa"/>
                          </w:trPr>
                          <w:tc>
                            <w:tcPr>
                              <w:tcW w:w="0" w:type="auto"/>
                              <w:shd w:val="clear" w:color="auto" w:fill="FFFFFF"/>
                              <w:hideMark/>
                            </w:tcPr>
                            <w:p w14:paraId="1B6791C5" w14:textId="77777777" w:rsidR="00556141" w:rsidRDefault="00556141">
                              <w:r>
                                <w:t>Fat</w:t>
                              </w:r>
                            </w:p>
                          </w:tc>
                          <w:tc>
                            <w:tcPr>
                              <w:tcW w:w="0" w:type="auto"/>
                              <w:shd w:val="clear" w:color="auto" w:fill="FFFFFF"/>
                              <w:hideMark/>
                            </w:tcPr>
                            <w:p w14:paraId="6F500403" w14:textId="77777777" w:rsidR="00556141" w:rsidRDefault="00556141">
                              <w:r>
                                <w:t>15.0</w:t>
                              </w:r>
                            </w:p>
                          </w:tc>
                          <w:tc>
                            <w:tcPr>
                              <w:tcW w:w="0" w:type="auto"/>
                              <w:shd w:val="clear" w:color="auto" w:fill="FFFFFF"/>
                              <w:hideMark/>
                            </w:tcPr>
                            <w:p w14:paraId="6BB6D1EF" w14:textId="77777777" w:rsidR="00556141" w:rsidRDefault="00556141">
                              <w:r>
                                <w:t>2</w:t>
                              </w:r>
                            </w:p>
                          </w:tc>
                          <w:tc>
                            <w:tcPr>
                              <w:tcW w:w="0" w:type="auto"/>
                              <w:shd w:val="clear" w:color="auto" w:fill="FFFFFF"/>
                              <w:hideMark/>
                            </w:tcPr>
                            <w:p w14:paraId="5FA0BEED" w14:textId="77777777" w:rsidR="00556141" w:rsidRDefault="00556141">
                              <w:r>
                                <w:t>1</w:t>
                              </w:r>
                            </w:p>
                          </w:tc>
                        </w:tr>
                      </w:tbl>
                      <w:p w14:paraId="2CDDC1EE" w14:textId="77777777" w:rsidR="00556141" w:rsidRDefault="00556141"/>
                    </w:tc>
                  </w:tr>
                  <w:tr w:rsidR="00556141" w14:paraId="77ED8BB0" w14:textId="77777777">
                    <w:trPr>
                      <w:tblCellSpacing w:w="0" w:type="dxa"/>
                    </w:trPr>
                    <w:tc>
                      <w:tcPr>
                        <w:tcW w:w="0" w:type="auto"/>
                        <w:shd w:val="clear" w:color="auto" w:fill="FFFFFF"/>
                        <w:vAlign w:val="center"/>
                        <w:hideMark/>
                      </w:tcPr>
                      <w:p w14:paraId="1E3AAC0C" w14:textId="77777777" w:rsidR="00556141" w:rsidRDefault="00556141">
                        <w:pPr>
                          <w:rPr>
                            <w:sz w:val="24"/>
                            <w:szCs w:val="24"/>
                          </w:rPr>
                        </w:pPr>
                        <w:bookmarkStart w:id="7" w:name="2486257"/>
                        <w:bookmarkEnd w:id="7"/>
                      </w:p>
                      <w:p w14:paraId="4BE6FFBB" w14:textId="77777777" w:rsidR="00556141" w:rsidRDefault="00556141">
                        <w:pPr>
                          <w:pStyle w:val="font12"/>
                        </w:pPr>
                        <w:r>
                          <w:t>Adapted with permission from .</w:t>
                        </w:r>
                      </w:p>
                    </w:tc>
                  </w:tr>
                </w:tbl>
                <w:p w14:paraId="6F14C836" w14:textId="77777777" w:rsidR="00556141" w:rsidRDefault="00556141">
                  <w:pPr>
                    <w:rPr>
                      <w:vanish/>
                    </w:rPr>
                  </w:pPr>
                  <w:bookmarkStart w:id="8" w:name="2486258"/>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56141" w14:paraId="55B6278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56141" w14:paraId="67A72304" w14:textId="77777777">
                          <w:trPr>
                            <w:tblCellSpacing w:w="0" w:type="dxa"/>
                          </w:trPr>
                          <w:tc>
                            <w:tcPr>
                              <w:tcW w:w="0" w:type="auto"/>
                              <w:vAlign w:val="center"/>
                              <w:hideMark/>
                            </w:tcPr>
                            <w:p w14:paraId="0B51A167" w14:textId="77777777" w:rsidR="00556141" w:rsidRDefault="00556141">
                              <w:pPr>
                                <w:pStyle w:val="tabletitle"/>
                              </w:pPr>
                              <w:r>
                                <w:t>Table 4.2 General Grouping of Tissues According to Blood Supply</w:t>
                              </w:r>
                              <w:r>
                                <w:rPr>
                                  <w:vertAlign w:val="superscript"/>
                                </w:rPr>
                                <w:t>a</w:t>
                              </w:r>
                              <w:r>
                                <w:t xml:space="preserve"> </w:t>
                              </w:r>
                            </w:p>
                            <w:p w14:paraId="55A9A18B" w14:textId="77777777" w:rsidR="00556141" w:rsidRDefault="00556141"/>
                          </w:tc>
                        </w:tr>
                      </w:tbl>
                      <w:p w14:paraId="11F74246" w14:textId="77777777" w:rsidR="00556141" w:rsidRDefault="00556141"/>
                    </w:tc>
                  </w:tr>
                  <w:tr w:rsidR="00556141" w14:paraId="29B277FA"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677"/>
                          <w:gridCol w:w="6334"/>
                          <w:gridCol w:w="2293"/>
                        </w:tblGrid>
                        <w:tr w:rsidR="00556141" w14:paraId="4C0AD280" w14:textId="77777777">
                          <w:trPr>
                            <w:tblHeader/>
                            <w:tblCellSpacing w:w="7" w:type="dxa"/>
                          </w:trPr>
                          <w:tc>
                            <w:tcPr>
                              <w:tcW w:w="0" w:type="auto"/>
                              <w:shd w:val="clear" w:color="auto" w:fill="FFFFFF"/>
                              <w:hideMark/>
                            </w:tcPr>
                            <w:p w14:paraId="48177DC6" w14:textId="77777777" w:rsidR="00556141" w:rsidRDefault="00556141">
                              <w:pPr>
                                <w:rPr>
                                  <w:b/>
                                  <w:bCs/>
                                  <w:sz w:val="24"/>
                                  <w:szCs w:val="24"/>
                                </w:rPr>
                              </w:pPr>
                              <w:r>
                                <w:rPr>
                                  <w:b/>
                                  <w:bCs/>
                                </w:rPr>
                                <w:t>Blood Supply</w:t>
                              </w:r>
                            </w:p>
                          </w:tc>
                          <w:tc>
                            <w:tcPr>
                              <w:tcW w:w="0" w:type="auto"/>
                              <w:shd w:val="clear" w:color="auto" w:fill="FFFFFF"/>
                              <w:hideMark/>
                            </w:tcPr>
                            <w:p w14:paraId="4840E7F3" w14:textId="77777777" w:rsidR="00556141" w:rsidRDefault="00556141">
                              <w:pPr>
                                <w:rPr>
                                  <w:b/>
                                  <w:bCs/>
                                </w:rPr>
                              </w:pPr>
                              <w:r>
                                <w:rPr>
                                  <w:b/>
                                  <w:bCs/>
                                </w:rPr>
                                <w:t>Tissue Group</w:t>
                              </w:r>
                            </w:p>
                          </w:tc>
                          <w:tc>
                            <w:tcPr>
                              <w:tcW w:w="0" w:type="auto"/>
                              <w:shd w:val="clear" w:color="auto" w:fill="FFFFFF"/>
                              <w:hideMark/>
                            </w:tcPr>
                            <w:p w14:paraId="7D0F3901" w14:textId="77777777" w:rsidR="00556141" w:rsidRDefault="00556141">
                              <w:pPr>
                                <w:rPr>
                                  <w:b/>
                                  <w:bCs/>
                                </w:rPr>
                              </w:pPr>
                              <w:r>
                                <w:rPr>
                                  <w:b/>
                                  <w:bCs/>
                                </w:rPr>
                                <w:t>Percent Body Weight</w:t>
                              </w:r>
                            </w:p>
                          </w:tc>
                        </w:tr>
                        <w:tr w:rsidR="00556141" w14:paraId="4ABBBBD5" w14:textId="77777777">
                          <w:trPr>
                            <w:tblCellSpacing w:w="7" w:type="dxa"/>
                          </w:trPr>
                          <w:tc>
                            <w:tcPr>
                              <w:tcW w:w="0" w:type="auto"/>
                              <w:shd w:val="clear" w:color="auto" w:fill="FFFFFF"/>
                              <w:hideMark/>
                            </w:tcPr>
                            <w:p w14:paraId="563A4B25" w14:textId="77777777" w:rsidR="00556141" w:rsidRDefault="00556141">
                              <w:r>
                                <w:t>Highly perfused</w:t>
                              </w:r>
                            </w:p>
                          </w:tc>
                          <w:tc>
                            <w:tcPr>
                              <w:tcW w:w="0" w:type="auto"/>
                              <w:shd w:val="clear" w:color="auto" w:fill="FFFFFF"/>
                              <w:hideMark/>
                            </w:tcPr>
                            <w:p w14:paraId="1561B1B2" w14:textId="77777777" w:rsidR="00556141" w:rsidRDefault="00556141">
                              <w:r>
                                <w:t>Heart, brain, hepatic-portal system, kidney, and endocrine glands</w:t>
                              </w:r>
                            </w:p>
                          </w:tc>
                          <w:tc>
                            <w:tcPr>
                              <w:tcW w:w="0" w:type="auto"/>
                              <w:shd w:val="clear" w:color="auto" w:fill="FFFFFF"/>
                              <w:hideMark/>
                            </w:tcPr>
                            <w:p w14:paraId="5FEAB8AD" w14:textId="77777777" w:rsidR="00556141" w:rsidRDefault="00556141">
                              <w:r>
                                <w:t>9</w:t>
                              </w:r>
                            </w:p>
                          </w:tc>
                        </w:tr>
                        <w:tr w:rsidR="00556141" w14:paraId="60C0EEFF" w14:textId="77777777">
                          <w:trPr>
                            <w:tblCellSpacing w:w="7" w:type="dxa"/>
                          </w:trPr>
                          <w:tc>
                            <w:tcPr>
                              <w:tcW w:w="0" w:type="auto"/>
                              <w:shd w:val="clear" w:color="auto" w:fill="FFFFFF"/>
                              <w:hideMark/>
                            </w:tcPr>
                            <w:p w14:paraId="1F21C54E" w14:textId="77777777" w:rsidR="00556141" w:rsidRDefault="00556141">
                              <w:r>
                                <w:t> </w:t>
                              </w:r>
                            </w:p>
                          </w:tc>
                          <w:tc>
                            <w:tcPr>
                              <w:tcW w:w="0" w:type="auto"/>
                              <w:shd w:val="clear" w:color="auto" w:fill="FFFFFF"/>
                              <w:hideMark/>
                            </w:tcPr>
                            <w:p w14:paraId="6D9AFC87" w14:textId="77777777" w:rsidR="00556141" w:rsidRDefault="00556141">
                              <w:r>
                                <w:t>Skin and muscle</w:t>
                              </w:r>
                            </w:p>
                          </w:tc>
                          <w:tc>
                            <w:tcPr>
                              <w:tcW w:w="0" w:type="auto"/>
                              <w:shd w:val="clear" w:color="auto" w:fill="FFFFFF"/>
                              <w:hideMark/>
                            </w:tcPr>
                            <w:p w14:paraId="6DD6B3E9" w14:textId="77777777" w:rsidR="00556141" w:rsidRDefault="00556141">
                              <w:r>
                                <w:t>50</w:t>
                              </w:r>
                            </w:p>
                          </w:tc>
                        </w:tr>
                        <w:tr w:rsidR="00556141" w14:paraId="4634680A" w14:textId="77777777">
                          <w:trPr>
                            <w:tblCellSpacing w:w="7" w:type="dxa"/>
                          </w:trPr>
                          <w:tc>
                            <w:tcPr>
                              <w:tcW w:w="0" w:type="auto"/>
                              <w:shd w:val="clear" w:color="auto" w:fill="FFFFFF"/>
                              <w:hideMark/>
                            </w:tcPr>
                            <w:p w14:paraId="649DA87E" w14:textId="77777777" w:rsidR="00556141" w:rsidRDefault="00556141">
                              <w:r>
                                <w:t> </w:t>
                              </w:r>
                            </w:p>
                          </w:tc>
                          <w:tc>
                            <w:tcPr>
                              <w:tcW w:w="0" w:type="auto"/>
                              <w:shd w:val="clear" w:color="auto" w:fill="FFFFFF"/>
                              <w:hideMark/>
                            </w:tcPr>
                            <w:p w14:paraId="0F55CD48" w14:textId="77777777" w:rsidR="00556141" w:rsidRDefault="00556141">
                              <w:r>
                                <w:t>Adipose (fat) tissue and marrow</w:t>
                              </w:r>
                            </w:p>
                          </w:tc>
                          <w:tc>
                            <w:tcPr>
                              <w:tcW w:w="0" w:type="auto"/>
                              <w:shd w:val="clear" w:color="auto" w:fill="FFFFFF"/>
                              <w:hideMark/>
                            </w:tcPr>
                            <w:p w14:paraId="69B0FF06" w14:textId="77777777" w:rsidR="00556141" w:rsidRDefault="00556141">
                              <w:r>
                                <w:t>19</w:t>
                              </w:r>
                            </w:p>
                          </w:tc>
                        </w:tr>
                        <w:tr w:rsidR="00556141" w14:paraId="1C288694" w14:textId="77777777">
                          <w:trPr>
                            <w:tblCellSpacing w:w="7" w:type="dxa"/>
                          </w:trPr>
                          <w:tc>
                            <w:tcPr>
                              <w:tcW w:w="0" w:type="auto"/>
                              <w:shd w:val="clear" w:color="auto" w:fill="FFFFFF"/>
                              <w:hideMark/>
                            </w:tcPr>
                            <w:p w14:paraId="63881FD2" w14:textId="77777777" w:rsidR="00556141" w:rsidRDefault="00556141">
                              <w:r>
                                <w:t>Slowly perfused</w:t>
                              </w:r>
                            </w:p>
                          </w:tc>
                          <w:tc>
                            <w:tcPr>
                              <w:tcW w:w="0" w:type="auto"/>
                              <w:shd w:val="clear" w:color="auto" w:fill="FFFFFF"/>
                              <w:hideMark/>
                            </w:tcPr>
                            <w:p w14:paraId="7839B379" w14:textId="77777777" w:rsidR="00556141" w:rsidRDefault="00556141">
                              <w:r>
                                <w:t>Bone, ligaments, tendons, cartilage, teeth, and hair</w:t>
                              </w:r>
                            </w:p>
                          </w:tc>
                          <w:tc>
                            <w:tcPr>
                              <w:tcW w:w="0" w:type="auto"/>
                              <w:shd w:val="clear" w:color="auto" w:fill="FFFFFF"/>
                              <w:hideMark/>
                            </w:tcPr>
                            <w:p w14:paraId="58A71048" w14:textId="77777777" w:rsidR="00556141" w:rsidRDefault="00556141">
                              <w:r>
                                <w:t>22</w:t>
                              </w:r>
                            </w:p>
                          </w:tc>
                        </w:tr>
                      </w:tbl>
                      <w:p w14:paraId="59BFAF3C" w14:textId="77777777" w:rsidR="00556141" w:rsidRDefault="00556141"/>
                    </w:tc>
                  </w:tr>
                  <w:tr w:rsidR="00556141" w14:paraId="7D9AB273" w14:textId="77777777">
                    <w:trPr>
                      <w:tblCellSpacing w:w="0" w:type="dxa"/>
                    </w:trPr>
                    <w:tc>
                      <w:tcPr>
                        <w:tcW w:w="0" w:type="auto"/>
                        <w:shd w:val="clear" w:color="auto" w:fill="FFFFFF"/>
                        <w:vAlign w:val="center"/>
                        <w:hideMark/>
                      </w:tcPr>
                      <w:p w14:paraId="3EB169DE" w14:textId="77777777" w:rsidR="00556141" w:rsidRDefault="00556141">
                        <w:pPr>
                          <w:rPr>
                            <w:sz w:val="24"/>
                            <w:szCs w:val="24"/>
                          </w:rPr>
                        </w:pPr>
                        <w:bookmarkStart w:id="9" w:name="2486259"/>
                        <w:bookmarkEnd w:id="9"/>
                      </w:p>
                      <w:p w14:paraId="37373E65" w14:textId="77777777" w:rsidR="00556141" w:rsidRDefault="00556141">
                        <w:pPr>
                          <w:pStyle w:val="font12"/>
                        </w:pPr>
                        <w:r>
                          <w:rPr>
                            <w:vertAlign w:val="superscript"/>
                          </w:rPr>
                          <w:t>a</w:t>
                        </w:r>
                        <w:r>
                          <w:t>Tissue uptake will also depend on such factors as fat solubility, degree of ionization, partitioning, and protein binding of the drug.</w:t>
                        </w:r>
                      </w:p>
                      <w:p w14:paraId="5D616CE0" w14:textId="77777777" w:rsidR="00556141" w:rsidRDefault="00556141">
                        <w:pPr>
                          <w:pStyle w:val="font12"/>
                        </w:pPr>
                        <w:bookmarkStart w:id="10" w:name="2486260"/>
                        <w:bookmarkEnd w:id="10"/>
                        <w:r>
                          <w:t>Adapted from .</w:t>
                        </w:r>
                      </w:p>
                    </w:tc>
                  </w:tr>
                </w:tbl>
                <w:p w14:paraId="32BCE741" w14:textId="77777777" w:rsidR="00556141" w:rsidRDefault="00556141">
                  <w:pPr>
                    <w:pStyle w:val="contentbody"/>
                  </w:pPr>
                  <w:bookmarkStart w:id="11" w:name="2486052"/>
                  <w:bookmarkEnd w:id="11"/>
                  <w:r>
                    <w:t xml:space="preserve">The nonlinear profile of plasma drug concentration versus time is the result of many factors interacting together, including blood flow to the tissues, the permeability of the drug into the tissues, the capacity of the tissues to accumulate drug, and the effect of disease factors on these processes (see ). Impaired cardiac </w:t>
                  </w:r>
                  <w:r>
                    <w:lastRenderedPageBreak/>
                    <w:t>function may produce a change in blood flow and in the drug distributive phase, whereas impairment of the kidney or the liver may decrease drug elimination as shown by a prolonged elimination half-life and corresponding reduction in the slope of the terminal elimination phase of the curve. Frequently, multiple factors can complicate the distribution profile in such a way that the profile can only be described clearly with the assistance of a simulation model.</w:t>
                  </w:r>
                </w:p>
              </w:tc>
            </w:tr>
          </w:tbl>
          <w:p w14:paraId="71E17616" w14:textId="77777777" w:rsidR="00556141" w:rsidRDefault="00556141">
            <w:pPr>
              <w:rPr>
                <w:vanish/>
              </w:rPr>
            </w:pPr>
            <w:bookmarkStart w:id="12" w:name="2486053"/>
            <w:bookmarkEnd w:id="12"/>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799E6F18" w14:textId="77777777">
              <w:trPr>
                <w:tblCellSpacing w:w="0" w:type="dxa"/>
              </w:trPr>
              <w:tc>
                <w:tcPr>
                  <w:tcW w:w="0" w:type="auto"/>
                  <w:shd w:val="clear" w:color="auto" w:fill="FFFFFF"/>
                  <w:hideMark/>
                </w:tcPr>
                <w:p w14:paraId="717C24F2" w14:textId="77777777" w:rsidR="00556141" w:rsidRDefault="00556141">
                  <w:pPr>
                    <w:pStyle w:val="contenthead1"/>
                  </w:pPr>
                  <w:r>
                    <w:t>Two-Compartment Open Model</w:t>
                  </w:r>
                </w:p>
                <w:p w14:paraId="42A25AF7" w14:textId="77777777" w:rsidR="00556141" w:rsidRDefault="00556141">
                  <w:pPr>
                    <w:pStyle w:val="contentbody"/>
                  </w:pPr>
                  <w:bookmarkStart w:id="13" w:name="2486054"/>
                  <w:bookmarkEnd w:id="13"/>
                  <w:r>
                    <w:t xml:space="preserve">Many drugs given in a single intravenous bolus dose demonstrate a plasma level–time curve that does not decline as a single exponential (first-order) process. The plasma level–time curve for a drug that follows a two-compartment model () shows that the plasma drug concentration declines </w:t>
                  </w:r>
                  <w:r>
                    <w:rPr>
                      <w:i/>
                      <w:iCs/>
                    </w:rPr>
                    <w:t>biexponentially</w:t>
                  </w:r>
                  <w:r>
                    <w:t xml:space="preserve"> as the sum of two first-order processes—distribution and elimination. A drug that follows the pharmacokinetics of a two-compartment model does not equilibrate rapidly throughout the body, as is assumed for a one-compartment model. In this model, the drug distributes into two compartments, the central compartment and the tissue, or peripheral compartment. The </w:t>
                  </w:r>
                  <w:r>
                    <w:rPr>
                      <w:i/>
                      <w:iCs/>
                    </w:rPr>
                    <w:t>central compartment</w:t>
                  </w:r>
                  <w:r>
                    <w:t xml:space="preserve"> represents the blood, extracellular fluid, and highly perfused tissues. The drug distributes rapidly and uniformly in the central compartment. A second compartment, known as the</w:t>
                  </w:r>
                  <w:r>
                    <w:rPr>
                      <w:i/>
                      <w:iCs/>
                    </w:rPr>
                    <w:t xml:space="preserve"> tissue</w:t>
                  </w:r>
                  <w:r>
                    <w:t xml:space="preserve"> or </w:t>
                  </w:r>
                  <w:r>
                    <w:rPr>
                      <w:i/>
                      <w:iCs/>
                    </w:rPr>
                    <w:t>peripheral compartment,</w:t>
                  </w:r>
                  <w:r>
                    <w:t xml:space="preserve"> contains tissues in which the drug equilibrates more slowly. Drug transfer between the two compartments is assumed to take place by first-order processes.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097"/>
                  </w:tblGrid>
                  <w:tr w:rsidR="00556141" w14:paraId="0E9056B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069"/>
                        </w:tblGrid>
                        <w:tr w:rsidR="00556141" w14:paraId="6C84B5C8" w14:textId="77777777">
                          <w:trPr>
                            <w:tblCellSpacing w:w="7" w:type="dxa"/>
                          </w:trPr>
                          <w:tc>
                            <w:tcPr>
                              <w:tcW w:w="0" w:type="auto"/>
                              <w:shd w:val="clear" w:color="auto" w:fill="CCCCCC"/>
                              <w:vAlign w:val="center"/>
                              <w:hideMark/>
                            </w:tcPr>
                            <w:p w14:paraId="698883BB" w14:textId="77777777" w:rsidR="00556141" w:rsidRDefault="00556141">
                              <w:pPr>
                                <w:pStyle w:val="tabletitle"/>
                              </w:pPr>
                              <w:bookmarkStart w:id="14" w:name="2486271"/>
                              <w:bookmarkEnd w:id="14"/>
                              <w:r>
                                <w:t>Figure 4-1.</w:t>
                              </w:r>
                            </w:p>
                            <w:p w14:paraId="35327A25" w14:textId="77777777" w:rsidR="00556141" w:rsidRDefault="00556141"/>
                          </w:tc>
                        </w:tr>
                      </w:tbl>
                      <w:p w14:paraId="3A3E996A" w14:textId="77777777" w:rsidR="00556141" w:rsidRDefault="00556141"/>
                    </w:tc>
                  </w:tr>
                  <w:tr w:rsidR="00556141" w14:paraId="2716550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069"/>
                        </w:tblGrid>
                        <w:tr w:rsidR="00556141" w14:paraId="4367E8E1" w14:textId="77777777">
                          <w:trPr>
                            <w:tblCellSpacing w:w="7" w:type="dxa"/>
                          </w:trPr>
                          <w:tc>
                            <w:tcPr>
                              <w:tcW w:w="0" w:type="auto"/>
                              <w:shd w:val="clear" w:color="auto" w:fill="FFFFFF"/>
                              <w:vAlign w:val="center"/>
                              <w:hideMark/>
                            </w:tcPr>
                            <w:p w14:paraId="525C8BB1" w14:textId="5929818E" w:rsidR="00556141" w:rsidRDefault="00556141">
                              <w:pPr>
                                <w:jc w:val="center"/>
                                <w:rPr>
                                  <w:sz w:val="24"/>
                                  <w:szCs w:val="24"/>
                                </w:rPr>
                              </w:pPr>
                              <w:r>
                                <w:rPr>
                                  <w:noProof/>
                                </w:rPr>
                                <mc:AlternateContent>
                                  <mc:Choice Requires="wps">
                                    <w:drawing>
                                      <wp:inline distT="0" distB="0" distL="0" distR="0" wp14:anchorId="78958A05" wp14:editId="10BDB731">
                                        <wp:extent cx="304800" cy="304800"/>
                                        <wp:effectExtent l="0" t="0" r="0" b="0"/>
                                        <wp:docPr id="15669375"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CBF8B" id="Rectangle 1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21BE19EE" w14:textId="77777777">
                          <w:trPr>
                            <w:tblCellSpacing w:w="7" w:type="dxa"/>
                          </w:trPr>
                          <w:tc>
                            <w:tcPr>
                              <w:tcW w:w="0" w:type="auto"/>
                              <w:shd w:val="clear" w:color="auto" w:fill="FFFFFF"/>
                              <w:vAlign w:val="center"/>
                              <w:hideMark/>
                            </w:tcPr>
                            <w:p w14:paraId="045DE8F1" w14:textId="77777777" w:rsidR="00556141" w:rsidRDefault="00556141">
                              <w:pPr>
                                <w:pStyle w:val="font11"/>
                              </w:pPr>
                              <w:bookmarkStart w:id="15" w:name="2486272"/>
                              <w:bookmarkEnd w:id="15"/>
                              <w:r>
                                <w:t>Plasma level–time curve for the two-compartment open model (single IV dose) described in (model A).</w:t>
                              </w:r>
                            </w:p>
                          </w:tc>
                        </w:tr>
                      </w:tbl>
                      <w:p w14:paraId="14F571AA" w14:textId="77777777" w:rsidR="00556141" w:rsidRDefault="00556141"/>
                    </w:tc>
                  </w:tr>
                </w:tbl>
                <w:p w14:paraId="1EC9F32C" w14:textId="77777777" w:rsidR="00556141" w:rsidRDefault="00556141">
                  <w:pPr>
                    <w:rPr>
                      <w:sz w:val="24"/>
                      <w:szCs w:val="24"/>
                    </w:rPr>
                  </w:pPr>
                  <w:bookmarkStart w:id="16" w:name="2486055"/>
                  <w:bookmarkEnd w:id="16"/>
                </w:p>
                <w:p w14:paraId="4482A6D7" w14:textId="77777777" w:rsidR="00556141" w:rsidRDefault="00556141">
                  <w:pPr>
                    <w:pStyle w:val="contentbody"/>
                  </w:pPr>
                  <w:r>
                    <w:t xml:space="preserve">There are several possible two-compartment models (). Model A is used most often and describes the plasma level–time curve observed in . By convention, compartment 1 is the central compartment and compartment 2 is the tissue compartment. The rate constants </w:t>
                  </w:r>
                  <w:r>
                    <w:rPr>
                      <w:i/>
                      <w:iCs/>
                    </w:rPr>
                    <w:t>k</w:t>
                  </w:r>
                  <w:r>
                    <w:t xml:space="preserve"> </w:t>
                  </w:r>
                  <w:r>
                    <w:rPr>
                      <w:vertAlign w:val="subscript"/>
                    </w:rPr>
                    <w:t>12</w:t>
                  </w:r>
                  <w:r>
                    <w:t xml:space="preserve"> and </w:t>
                  </w:r>
                  <w:r>
                    <w:rPr>
                      <w:i/>
                      <w:iCs/>
                    </w:rPr>
                    <w:t>k</w:t>
                  </w:r>
                  <w:r>
                    <w:t xml:space="preserve"> </w:t>
                  </w:r>
                  <w:r>
                    <w:rPr>
                      <w:vertAlign w:val="subscript"/>
                    </w:rPr>
                    <w:t>21</w:t>
                  </w:r>
                  <w:r>
                    <w:t xml:space="preserve"> represent the first-order rate transfer constants for the movement of drug from compartment 1 to compartment 2 (</w:t>
                  </w:r>
                  <w:r>
                    <w:rPr>
                      <w:i/>
                      <w:iCs/>
                    </w:rPr>
                    <w:t>k</w:t>
                  </w:r>
                  <w:r>
                    <w:t xml:space="preserve"> </w:t>
                  </w:r>
                  <w:r>
                    <w:rPr>
                      <w:vertAlign w:val="subscript"/>
                    </w:rPr>
                    <w:t>12</w:t>
                  </w:r>
                  <w:r>
                    <w:t>) and from compartment 2 to compartment 1 (</w:t>
                  </w:r>
                  <w:r>
                    <w:rPr>
                      <w:i/>
                      <w:iCs/>
                    </w:rPr>
                    <w:t>k</w:t>
                  </w:r>
                  <w:r>
                    <w:t xml:space="preserve"> </w:t>
                  </w:r>
                  <w:r>
                    <w:rPr>
                      <w:vertAlign w:val="subscript"/>
                    </w:rPr>
                    <w:t>21</w:t>
                  </w:r>
                  <w:r>
                    <w:t xml:space="preserve">). The transfer constants are sometimes termed </w:t>
                  </w:r>
                  <w:r>
                    <w:rPr>
                      <w:i/>
                      <w:iCs/>
                    </w:rPr>
                    <w:t>microconstants</w:t>
                  </w:r>
                  <w:r>
                    <w:t>, and their values cannot be estimated directly. Most two-compartment models assume that elimination occurs from the central compartment model, as shown in (model A), unless other information about the drug is known. Drug elimination is presumed to occur from the central compartment, because the major sites of drug elimination (renal excretion and hepatic drug metabolism) occur in organs, such as the kidney and liver, which are highly perfused with blood.</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412"/>
                  </w:tblGrid>
                  <w:tr w:rsidR="00556141" w14:paraId="1CA74AE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384"/>
                        </w:tblGrid>
                        <w:tr w:rsidR="00556141" w14:paraId="6F7D7F0E" w14:textId="77777777">
                          <w:trPr>
                            <w:tblCellSpacing w:w="7" w:type="dxa"/>
                          </w:trPr>
                          <w:tc>
                            <w:tcPr>
                              <w:tcW w:w="0" w:type="auto"/>
                              <w:shd w:val="clear" w:color="auto" w:fill="CCCCCC"/>
                              <w:vAlign w:val="center"/>
                              <w:hideMark/>
                            </w:tcPr>
                            <w:p w14:paraId="6347675C" w14:textId="77777777" w:rsidR="00556141" w:rsidRDefault="00556141">
                              <w:pPr>
                                <w:pStyle w:val="tabletitle"/>
                              </w:pPr>
                              <w:bookmarkStart w:id="17" w:name="2486273"/>
                              <w:bookmarkEnd w:id="17"/>
                              <w:r>
                                <w:t>Figure 4-2.</w:t>
                              </w:r>
                            </w:p>
                            <w:p w14:paraId="45552BC8" w14:textId="77777777" w:rsidR="00556141" w:rsidRDefault="00556141"/>
                          </w:tc>
                        </w:tr>
                      </w:tbl>
                      <w:p w14:paraId="3C802F67" w14:textId="77777777" w:rsidR="00556141" w:rsidRDefault="00556141"/>
                    </w:tc>
                  </w:tr>
                  <w:tr w:rsidR="00556141" w14:paraId="6E9C86D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384"/>
                        </w:tblGrid>
                        <w:tr w:rsidR="00556141" w14:paraId="13C6C010" w14:textId="77777777">
                          <w:trPr>
                            <w:tblCellSpacing w:w="7" w:type="dxa"/>
                          </w:trPr>
                          <w:tc>
                            <w:tcPr>
                              <w:tcW w:w="0" w:type="auto"/>
                              <w:shd w:val="clear" w:color="auto" w:fill="FFFFFF"/>
                              <w:vAlign w:val="center"/>
                              <w:hideMark/>
                            </w:tcPr>
                            <w:p w14:paraId="58F03FA7" w14:textId="49F15745" w:rsidR="00556141" w:rsidRDefault="00556141">
                              <w:pPr>
                                <w:jc w:val="center"/>
                                <w:rPr>
                                  <w:sz w:val="24"/>
                                  <w:szCs w:val="24"/>
                                </w:rPr>
                              </w:pPr>
                              <w:r>
                                <w:rPr>
                                  <w:noProof/>
                                </w:rPr>
                                <mc:AlternateContent>
                                  <mc:Choice Requires="wps">
                                    <w:drawing>
                                      <wp:inline distT="0" distB="0" distL="0" distR="0" wp14:anchorId="1BDCC7DF" wp14:editId="0F51A345">
                                        <wp:extent cx="304800" cy="304800"/>
                                        <wp:effectExtent l="0" t="0" r="0" b="0"/>
                                        <wp:docPr id="1425888426"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B1808" id="Rectangle 1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329200FA" w14:textId="77777777">
                          <w:trPr>
                            <w:tblCellSpacing w:w="7" w:type="dxa"/>
                          </w:trPr>
                          <w:tc>
                            <w:tcPr>
                              <w:tcW w:w="0" w:type="auto"/>
                              <w:shd w:val="clear" w:color="auto" w:fill="FFFFFF"/>
                              <w:vAlign w:val="center"/>
                              <w:hideMark/>
                            </w:tcPr>
                            <w:p w14:paraId="4AC2E9D9" w14:textId="77777777" w:rsidR="00556141" w:rsidRDefault="00556141">
                              <w:pPr>
                                <w:pStyle w:val="font11"/>
                              </w:pPr>
                              <w:bookmarkStart w:id="18" w:name="2486274"/>
                              <w:bookmarkEnd w:id="18"/>
                              <w:r>
                                <w:t>Two-compartment open models, intravenous injection.</w:t>
                              </w:r>
                            </w:p>
                          </w:tc>
                        </w:tr>
                      </w:tbl>
                      <w:p w14:paraId="263C33D0" w14:textId="77777777" w:rsidR="00556141" w:rsidRDefault="00556141"/>
                    </w:tc>
                  </w:tr>
                </w:tbl>
                <w:p w14:paraId="05EE66AA" w14:textId="77777777" w:rsidR="00556141" w:rsidRDefault="00556141">
                  <w:pPr>
                    <w:rPr>
                      <w:sz w:val="24"/>
                      <w:szCs w:val="24"/>
                    </w:rPr>
                  </w:pPr>
                  <w:bookmarkStart w:id="19" w:name="2486056"/>
                  <w:bookmarkEnd w:id="19"/>
                </w:p>
                <w:p w14:paraId="25E538D6" w14:textId="4762A494" w:rsidR="00556141" w:rsidRDefault="00556141">
                  <w:pPr>
                    <w:pStyle w:val="contentbody"/>
                  </w:pPr>
                  <w:r>
                    <w:t>The plasma level–time curve for a drug that follows a two-compartment model may be divided into two parts, (</w:t>
                  </w:r>
                  <w:r>
                    <w:rPr>
                      <w:i/>
                      <w:iCs/>
                    </w:rPr>
                    <w:t>a</w:t>
                  </w:r>
                  <w:r>
                    <w:t>) a distribution phase and (</w:t>
                  </w:r>
                  <w:r>
                    <w:rPr>
                      <w:i/>
                      <w:iCs/>
                    </w:rPr>
                    <w:t>b</w:t>
                  </w:r>
                  <w:r>
                    <w:t xml:space="preserve">) an elimination phase. The two-compartment model assumes that, at </w:t>
                  </w:r>
                  <w:r>
                    <w:rPr>
                      <w:i/>
                      <w:iCs/>
                    </w:rPr>
                    <w:t>t</w:t>
                  </w:r>
                  <w:r>
                    <w:t xml:space="preserve"> = 0, no drug is in the tissue compartment. After an IV bolus injection, drug equilibrates rapidly in the central compartment. The </w:t>
                  </w:r>
                  <w:r>
                    <w:rPr>
                      <w:i/>
                      <w:iCs/>
                    </w:rPr>
                    <w:t>distribution phase</w:t>
                  </w:r>
                  <w:r>
                    <w:t xml:space="preserve"> of the curve represents the initial, more rapid decline of drug from the central compartment into the tissue compartment (, line </w:t>
                  </w:r>
                  <w:r>
                    <w:rPr>
                      <w:i/>
                      <w:iCs/>
                    </w:rPr>
                    <w:t>a</w:t>
                  </w:r>
                  <w:r>
                    <w:t xml:space="preserve">). Although drug elimination and distribution occur </w:t>
                  </w:r>
                  <w:r>
                    <w:rPr>
                      <w:i/>
                      <w:iCs/>
                    </w:rPr>
                    <w:t>concurrently</w:t>
                  </w:r>
                  <w:r>
                    <w:t xml:space="preserve"> during the distribution phase, there is a net transfer of drug from the central compartment to the tissue compartment. The fraction of drug in the tissue compartment during the distribution phase increases up to a maximum in a given tissue, whose value may be greater or less than the </w:t>
                  </w:r>
                  <w:r>
                    <w:lastRenderedPageBreak/>
                    <w:t>plasma drug concentration. At maximum tissue concentrations, the rate of drug entry into the tissue equals the rate of drug exit from the tissue. The fraction of drug in the tissue compartment is now in equilibrium (</w:t>
                  </w:r>
                  <w:r>
                    <w:rPr>
                      <w:i/>
                      <w:iCs/>
                    </w:rPr>
                    <w:t>distribution equilibrium</w:t>
                  </w:r>
                  <w:r>
                    <w:t xml:space="preserve">) with the fraction of drug in the central compartment (), and the drug concentrations in both the central and tissue compartments decline in parallel and more slowly compared to the distribution phase. This decline is a first-order process and is called the </w:t>
                  </w:r>
                  <w:r>
                    <w:rPr>
                      <w:i/>
                      <w:iCs/>
                    </w:rPr>
                    <w:t>elimination phase</w:t>
                  </w:r>
                  <w:r>
                    <w:t xml:space="preserve"> or the </w:t>
                  </w:r>
                  <w:r>
                    <w:rPr>
                      <w:i/>
                      <w:iCs/>
                    </w:rPr>
                    <w:t>beta</w:t>
                  </w:r>
                  <w:r>
                    <w:t xml:space="preserve"> (</w:t>
                  </w:r>
                  <w:r>
                    <w:rPr>
                      <w:noProof/>
                    </w:rPr>
                    <mc:AlternateContent>
                      <mc:Choice Requires="wps">
                        <w:drawing>
                          <wp:inline distT="0" distB="0" distL="0" distR="0" wp14:anchorId="7FEC78C5" wp14:editId="6FA27B57">
                            <wp:extent cx="304800" cy="304800"/>
                            <wp:effectExtent l="0" t="0" r="0" b="0"/>
                            <wp:docPr id="1312591040"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0B170" id="Rectangle 1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phase (, line </w:t>
                  </w:r>
                  <w:r>
                    <w:rPr>
                      <w:i/>
                      <w:iCs/>
                    </w:rPr>
                    <w:t>b</w:t>
                  </w:r>
                  <w:r>
                    <w:t xml:space="preserve">). Since plasma and tissue concentrations decline in parallel, plasma drug concentrations provide some indication of the concentration of drug in the tissue. At this point, drug kinetics appear to follow a one-compartment model in which drug elimination is a first-order process described by </w:t>
                  </w:r>
                  <w:r>
                    <w:rPr>
                      <w:i/>
                      <w:iCs/>
                    </w:rPr>
                    <w:t>b</w:t>
                  </w:r>
                  <w:r>
                    <w:t xml:space="preserve"> (also known as beta). A typical tissue drug level curve after a single intravenous dose is shown in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3C137E8C"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62D83D48" w14:textId="77777777">
                          <w:trPr>
                            <w:tblCellSpacing w:w="7" w:type="dxa"/>
                          </w:trPr>
                          <w:tc>
                            <w:tcPr>
                              <w:tcW w:w="0" w:type="auto"/>
                              <w:shd w:val="clear" w:color="auto" w:fill="CCCCCC"/>
                              <w:vAlign w:val="center"/>
                              <w:hideMark/>
                            </w:tcPr>
                            <w:p w14:paraId="65C2429B" w14:textId="77777777" w:rsidR="00556141" w:rsidRDefault="00556141">
                              <w:pPr>
                                <w:pStyle w:val="tabletitle"/>
                              </w:pPr>
                              <w:bookmarkStart w:id="20" w:name="2486275"/>
                              <w:bookmarkEnd w:id="20"/>
                              <w:r>
                                <w:t>Figure 4-3.</w:t>
                              </w:r>
                            </w:p>
                            <w:p w14:paraId="68821E7B" w14:textId="77777777" w:rsidR="00556141" w:rsidRDefault="00556141"/>
                          </w:tc>
                        </w:tr>
                      </w:tbl>
                      <w:p w14:paraId="1CB3E2E0" w14:textId="77777777" w:rsidR="00556141" w:rsidRDefault="00556141"/>
                    </w:tc>
                  </w:tr>
                  <w:tr w:rsidR="00556141" w14:paraId="2559AC9D"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0B0FEFCB" w14:textId="77777777">
                          <w:trPr>
                            <w:tblCellSpacing w:w="7" w:type="dxa"/>
                          </w:trPr>
                          <w:tc>
                            <w:tcPr>
                              <w:tcW w:w="0" w:type="auto"/>
                              <w:shd w:val="clear" w:color="auto" w:fill="FFFFFF"/>
                              <w:vAlign w:val="center"/>
                              <w:hideMark/>
                            </w:tcPr>
                            <w:p w14:paraId="52EA8C29" w14:textId="0E5AB39B" w:rsidR="00556141" w:rsidRDefault="00556141">
                              <w:pPr>
                                <w:jc w:val="center"/>
                                <w:rPr>
                                  <w:sz w:val="24"/>
                                  <w:szCs w:val="24"/>
                                </w:rPr>
                              </w:pPr>
                              <w:r>
                                <w:rPr>
                                  <w:noProof/>
                                </w:rPr>
                                <mc:AlternateContent>
                                  <mc:Choice Requires="wps">
                                    <w:drawing>
                                      <wp:inline distT="0" distB="0" distL="0" distR="0" wp14:anchorId="2DE217B3" wp14:editId="5B84BD30">
                                        <wp:extent cx="304800" cy="304800"/>
                                        <wp:effectExtent l="0" t="0" r="0" b="0"/>
                                        <wp:docPr id="1345237480"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8D53E" id="Rectangle 1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235251C3" w14:textId="77777777">
                          <w:trPr>
                            <w:tblCellSpacing w:w="7" w:type="dxa"/>
                          </w:trPr>
                          <w:tc>
                            <w:tcPr>
                              <w:tcW w:w="0" w:type="auto"/>
                              <w:shd w:val="clear" w:color="auto" w:fill="FFFFFF"/>
                              <w:vAlign w:val="center"/>
                              <w:hideMark/>
                            </w:tcPr>
                            <w:p w14:paraId="7D6EEBA0" w14:textId="77777777" w:rsidR="00556141" w:rsidRDefault="00556141">
                              <w:pPr>
                                <w:pStyle w:val="font11"/>
                              </w:pPr>
                              <w:bookmarkStart w:id="21" w:name="2486276"/>
                              <w:bookmarkEnd w:id="21"/>
                              <w:r>
                                <w:t>Relationship between tissue and plasma drug concentrations for a two-compartment open model. The maximum tissue drug concentration may be greater or less than the plasma drug concentration.</w:t>
                              </w:r>
                            </w:p>
                          </w:tc>
                        </w:tr>
                      </w:tbl>
                      <w:p w14:paraId="28176A67" w14:textId="77777777" w:rsidR="00556141" w:rsidRDefault="00556141"/>
                    </w:tc>
                  </w:tr>
                </w:tbl>
                <w:p w14:paraId="7C3FC98A" w14:textId="77777777" w:rsidR="00556141" w:rsidRDefault="00556141">
                  <w:pPr>
                    <w:pStyle w:val="contentbody"/>
                  </w:pPr>
                  <w:bookmarkStart w:id="22" w:name="2486057"/>
                  <w:bookmarkEnd w:id="22"/>
                  <w:r>
                    <w:t xml:space="preserve">Tissue drug concentrations are theoretical only. The drug level in the theoretical tissue compartment can be calculated once the parameters for the model are determined. However, the drug concentration in the tissue compartment represents the average drug concentration in a group of tissues rather than any real anatomic tissue drug concentration. In reality, drug concentrations may vary among different tissues and possibly within an individual tissue. These varying tissue drug concentrations are due to differences in the partitioning of drug into the tissues, as discussed in . In terms of the pharmacokinetic model, the differences in tissue drug concentration is reflected in the </w:t>
                  </w:r>
                  <w:r>
                    <w:rPr>
                      <w:i/>
                      <w:iCs/>
                    </w:rPr>
                    <w:t>k</w:t>
                  </w:r>
                  <w:r>
                    <w:t xml:space="preserve"> </w:t>
                  </w:r>
                  <w:r>
                    <w:rPr>
                      <w:vertAlign w:val="subscript"/>
                    </w:rPr>
                    <w:t>12</w:t>
                  </w:r>
                  <w:r>
                    <w:t>/</w:t>
                  </w:r>
                  <w:r>
                    <w:rPr>
                      <w:i/>
                      <w:iCs/>
                    </w:rPr>
                    <w:t>k</w:t>
                  </w:r>
                  <w:r>
                    <w:t xml:space="preserve"> </w:t>
                  </w:r>
                  <w:r>
                    <w:rPr>
                      <w:vertAlign w:val="subscript"/>
                    </w:rPr>
                    <w:t>21</w:t>
                  </w:r>
                  <w:r>
                    <w:t xml:space="preserve"> ratio. Thus, tissue drug concentration may be higher or lower than the plasma drug concentrations, depending on the properties of the individual tissue. Moreover, the elimination of drug from the tissue compartment may not be the same as the elimination from the central compartment. For example, if </w:t>
                  </w:r>
                  <w:r>
                    <w:rPr>
                      <w:i/>
                      <w:iCs/>
                    </w:rPr>
                    <w:t>k</w:t>
                  </w:r>
                  <w:r>
                    <w:t xml:space="preserve"> </w:t>
                  </w:r>
                  <w:r>
                    <w:rPr>
                      <w:vertAlign w:val="subscript"/>
                    </w:rPr>
                    <w:t>12</w:t>
                  </w:r>
                  <w:r>
                    <w:t>·</w:t>
                  </w:r>
                  <w:r>
                    <w:rPr>
                      <w:i/>
                      <w:iCs/>
                    </w:rPr>
                    <w:t>C</w:t>
                  </w:r>
                  <w:r>
                    <w:t xml:space="preserve"> </w:t>
                  </w:r>
                  <w:r>
                    <w:rPr>
                      <w:vertAlign w:val="subscript"/>
                    </w:rPr>
                    <w:t>p</w:t>
                  </w:r>
                  <w:r>
                    <w:t xml:space="preserve"> is greater than </w:t>
                  </w:r>
                  <w:r>
                    <w:rPr>
                      <w:i/>
                      <w:iCs/>
                    </w:rPr>
                    <w:t>k</w:t>
                  </w:r>
                  <w:r>
                    <w:t xml:space="preserve"> </w:t>
                  </w:r>
                  <w:r>
                    <w:rPr>
                      <w:vertAlign w:val="subscript"/>
                    </w:rPr>
                    <w:t>21</w:t>
                  </w:r>
                  <w:r>
                    <w:t>·</w:t>
                  </w:r>
                  <w:r>
                    <w:rPr>
                      <w:i/>
                      <w:iCs/>
                    </w:rPr>
                    <w:t>C</w:t>
                  </w:r>
                  <w:r>
                    <w:t xml:space="preserve"> </w:t>
                  </w:r>
                  <w:r>
                    <w:rPr>
                      <w:vertAlign w:val="subscript"/>
                    </w:rPr>
                    <w:t>t</w:t>
                  </w:r>
                  <w:r>
                    <w:t xml:space="preserve"> (rate into tissue &gt; rate out of tissue), the tissue drug concentrations will increase and plasma drug concentrations will decrease. Real tissue drug concentration can sometimes be calculated by the addition of compartments to the model until a compartment that mimics the experimental tissue concentrations is found.</w:t>
                  </w:r>
                </w:p>
                <w:p w14:paraId="3623B06A" w14:textId="77777777" w:rsidR="00556141" w:rsidRDefault="00556141">
                  <w:pPr>
                    <w:pStyle w:val="contentbody"/>
                  </w:pPr>
                  <w:bookmarkStart w:id="23" w:name="2486058"/>
                  <w:bookmarkEnd w:id="23"/>
                  <w:r>
                    <w:t>In spite of the hypothetical nature of the tissue compartment, the theoretical tissue level is still valuable information for clinicians. The theoretical tissue concentration, together with the blood concentration, gives an accurate method of calculating the total amount of drug remaining in the body at any time (see digoxin example later, ). This information would not be available without pharmacokinetic models.</w:t>
                  </w:r>
                </w:p>
                <w:p w14:paraId="1233A0F6" w14:textId="77777777" w:rsidR="00556141" w:rsidRDefault="00556141">
                  <w:pPr>
                    <w:pStyle w:val="contentbody"/>
                  </w:pPr>
                  <w:bookmarkStart w:id="24" w:name="2486059"/>
                  <w:bookmarkEnd w:id="24"/>
                  <w:r>
                    <w:t>In practice, a blood sample is removed periodically from the central compartment and the plasma is analyzed for the presence of drug. The drug plasma level–time curve represents a phase of initial rapid equilibration with the central compartment (the distribution phase) followed by an elimination phase after the tissue compartment has also been equilibrated with drug. The distribution phase may take minutes or hours and may be missed entirely if the blood is sampled too late or at wide intervals after drug administration.</w:t>
                  </w:r>
                </w:p>
                <w:p w14:paraId="61B2B7A9" w14:textId="77777777" w:rsidR="00556141" w:rsidRDefault="00556141">
                  <w:pPr>
                    <w:pStyle w:val="contentbody"/>
                  </w:pPr>
                  <w:bookmarkStart w:id="25" w:name="2486060"/>
                  <w:bookmarkEnd w:id="25"/>
                  <w:r>
                    <w:t xml:space="preserve">In the model depicted above, </w:t>
                  </w:r>
                  <w:r>
                    <w:rPr>
                      <w:i/>
                      <w:iCs/>
                    </w:rPr>
                    <w:t>k</w:t>
                  </w:r>
                  <w:r>
                    <w:t xml:space="preserve"> </w:t>
                  </w:r>
                  <w:r>
                    <w:rPr>
                      <w:vertAlign w:val="subscript"/>
                    </w:rPr>
                    <w:t>12</w:t>
                  </w:r>
                  <w:r>
                    <w:t xml:space="preserve"> and </w:t>
                  </w:r>
                  <w:r>
                    <w:rPr>
                      <w:i/>
                      <w:iCs/>
                    </w:rPr>
                    <w:t>k</w:t>
                  </w:r>
                  <w:r>
                    <w:t xml:space="preserve"> </w:t>
                  </w:r>
                  <w:r>
                    <w:rPr>
                      <w:vertAlign w:val="subscript"/>
                    </w:rPr>
                    <w:t>21</w:t>
                  </w:r>
                  <w:r>
                    <w:t xml:space="preserve"> are first-order rate constants that govern the rate of drug change in and out of the tissues:</w:t>
                  </w:r>
                </w:p>
                <w:p w14:paraId="203CB460" w14:textId="080AD6D7" w:rsidR="00556141" w:rsidRDefault="00556141">
                  <w:pPr>
                    <w:pStyle w:val="contentbody"/>
                  </w:pPr>
                  <w:bookmarkStart w:id="26" w:name="2486291"/>
                  <w:bookmarkStart w:id="27" w:name="2486061"/>
                  <w:bookmarkEnd w:id="26"/>
                  <w:bookmarkEnd w:id="27"/>
                  <w:r>
                    <w:rPr>
                      <w:noProof/>
                    </w:rPr>
                    <mc:AlternateContent>
                      <mc:Choice Requires="wps">
                        <w:drawing>
                          <wp:inline distT="0" distB="0" distL="0" distR="0" wp14:anchorId="55B40ADD" wp14:editId="1E7EF85D">
                            <wp:extent cx="304800" cy="304800"/>
                            <wp:effectExtent l="0" t="0" r="0" b="0"/>
                            <wp:docPr id="948840547"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E40EC" id="Rectangle 1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E08284" w14:textId="77777777" w:rsidR="00556141" w:rsidRDefault="00556141">
                  <w:pPr>
                    <w:pStyle w:val="contentbody"/>
                  </w:pPr>
                  <w:bookmarkStart w:id="28" w:name="2486062"/>
                  <w:bookmarkEnd w:id="28"/>
                  <w:r>
                    <w:t>The relationship between the amount of drug in each compartment and the concentration of drug in that compartment is shown by Equations 4.2 and 4.3:</w:t>
                  </w:r>
                </w:p>
                <w:p w14:paraId="66FBF245" w14:textId="2D6C078B" w:rsidR="00556141" w:rsidRDefault="00556141">
                  <w:pPr>
                    <w:pStyle w:val="contentbody"/>
                  </w:pPr>
                  <w:bookmarkStart w:id="29" w:name="2486292"/>
                  <w:bookmarkStart w:id="30" w:name="2486063"/>
                  <w:bookmarkEnd w:id="29"/>
                  <w:bookmarkEnd w:id="30"/>
                  <w:r>
                    <w:rPr>
                      <w:noProof/>
                    </w:rPr>
                    <w:lastRenderedPageBreak/>
                    <mc:AlternateContent>
                      <mc:Choice Requires="wps">
                        <w:drawing>
                          <wp:inline distT="0" distB="0" distL="0" distR="0" wp14:anchorId="77119C25" wp14:editId="416A7DE1">
                            <wp:extent cx="304800" cy="304800"/>
                            <wp:effectExtent l="0" t="0" r="0" b="0"/>
                            <wp:docPr id="2086927723"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FD0F4" id="Rectangle 1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8A259E" w14:textId="77777777" w:rsidR="00556141" w:rsidRDefault="00556141">
                  <w:pPr>
                    <w:pStyle w:val="contentbody"/>
                  </w:pPr>
                  <w:bookmarkStart w:id="31" w:name="2486065"/>
                  <w:bookmarkEnd w:id="31"/>
                  <w:r>
                    <w:t xml:space="preserve">where </w:t>
                  </w:r>
                  <w:r>
                    <w:rPr>
                      <w:i/>
                      <w:iCs/>
                    </w:rPr>
                    <w:t>D</w:t>
                  </w:r>
                  <w:r>
                    <w:t xml:space="preserve"> </w:t>
                  </w:r>
                  <w:r>
                    <w:rPr>
                      <w:vertAlign w:val="subscript"/>
                    </w:rPr>
                    <w:t>p</w:t>
                  </w:r>
                  <w:r>
                    <w:t xml:space="preserve"> = amount of drug in the central compartment, </w:t>
                  </w:r>
                  <w:r>
                    <w:rPr>
                      <w:i/>
                      <w:iCs/>
                    </w:rPr>
                    <w:t>D</w:t>
                  </w:r>
                  <w:r>
                    <w:t xml:space="preserve"> </w:t>
                  </w:r>
                  <w:r>
                    <w:rPr>
                      <w:vertAlign w:val="subscript"/>
                    </w:rPr>
                    <w:t>t</w:t>
                  </w:r>
                  <w:r>
                    <w:t xml:space="preserve"> = amount of drug in the tissue compartment, </w:t>
                  </w:r>
                  <w:r>
                    <w:rPr>
                      <w:i/>
                      <w:iCs/>
                    </w:rPr>
                    <w:t>V</w:t>
                  </w:r>
                  <w:r>
                    <w:t xml:space="preserve"> </w:t>
                  </w:r>
                  <w:r>
                    <w:rPr>
                      <w:vertAlign w:val="subscript"/>
                    </w:rPr>
                    <w:t>p</w:t>
                  </w:r>
                  <w:r>
                    <w:t xml:space="preserve"> = volume of drug in the central compartment, and </w:t>
                  </w:r>
                  <w:r>
                    <w:rPr>
                      <w:i/>
                      <w:iCs/>
                    </w:rPr>
                    <w:t>V</w:t>
                  </w:r>
                  <w:r>
                    <w:t xml:space="preserve"> </w:t>
                  </w:r>
                  <w:r>
                    <w:rPr>
                      <w:vertAlign w:val="subscript"/>
                    </w:rPr>
                    <w:t>t</w:t>
                  </w:r>
                  <w:r>
                    <w:t xml:space="preserve"> = volume of drug in the tissue compartment.</w:t>
                  </w:r>
                </w:p>
                <w:p w14:paraId="50D21575" w14:textId="537DC6B0" w:rsidR="00556141" w:rsidRDefault="00556141">
                  <w:pPr>
                    <w:pStyle w:val="contentbody"/>
                  </w:pPr>
                  <w:bookmarkStart w:id="32" w:name="2486294"/>
                  <w:bookmarkStart w:id="33" w:name="2486066"/>
                  <w:bookmarkEnd w:id="32"/>
                  <w:bookmarkEnd w:id="33"/>
                  <w:r>
                    <w:rPr>
                      <w:noProof/>
                    </w:rPr>
                    <mc:AlternateContent>
                      <mc:Choice Requires="wps">
                        <w:drawing>
                          <wp:inline distT="0" distB="0" distL="0" distR="0" wp14:anchorId="79A02BCD" wp14:editId="76591B6B">
                            <wp:extent cx="304800" cy="304800"/>
                            <wp:effectExtent l="0" t="0" r="0" b="0"/>
                            <wp:docPr id="1374923107"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C2C00" id="Rectangle 1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8E1B66" w14:textId="77777777" w:rsidR="00556141" w:rsidRDefault="00556141">
                  <w:pPr>
                    <w:pStyle w:val="contentbody"/>
                  </w:pPr>
                  <w:bookmarkStart w:id="34" w:name="2486068"/>
                  <w:bookmarkEnd w:id="34"/>
                  <w:r>
                    <w:t>Solving Equations 4.4 and 4.5 will give Equations 4.6 and 4.7, which describe the change in drug concentration in the blood and in the tissue with respect to time:</w:t>
                  </w:r>
                </w:p>
                <w:p w14:paraId="34BDCF21" w14:textId="02BE4575" w:rsidR="00556141" w:rsidRDefault="00556141">
                  <w:pPr>
                    <w:pStyle w:val="contentbody"/>
                  </w:pPr>
                  <w:bookmarkStart w:id="35" w:name="2486296"/>
                  <w:bookmarkStart w:id="36" w:name="2486069"/>
                  <w:bookmarkEnd w:id="35"/>
                  <w:bookmarkEnd w:id="36"/>
                  <w:r>
                    <w:rPr>
                      <w:noProof/>
                    </w:rPr>
                    <mc:AlternateContent>
                      <mc:Choice Requires="wps">
                        <w:drawing>
                          <wp:inline distT="0" distB="0" distL="0" distR="0" wp14:anchorId="10BD5B20" wp14:editId="01C8785D">
                            <wp:extent cx="304800" cy="304800"/>
                            <wp:effectExtent l="0" t="0" r="0" b="0"/>
                            <wp:docPr id="2018035465"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F0E73" id="Rectangle 1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BFEBDE" w14:textId="77777777" w:rsidR="00556141" w:rsidRDefault="00556141">
                  <w:pPr>
                    <w:pStyle w:val="contentbody"/>
                  </w:pPr>
                  <w:bookmarkStart w:id="37" w:name="2486073"/>
                  <w:bookmarkEnd w:id="37"/>
                  <w:r>
                    <w:t xml:space="preserve">where </w:t>
                  </w:r>
                  <w:r>
                    <w:rPr>
                      <w:i/>
                      <w:iCs/>
                    </w:rPr>
                    <w:t>D</w:t>
                  </w:r>
                  <w:r>
                    <w:t xml:space="preserve"> </w:t>
                  </w:r>
                  <w:r>
                    <w:rPr>
                      <w:vertAlign w:val="superscript"/>
                    </w:rPr>
                    <w:t>0</w:t>
                  </w:r>
                  <w:r>
                    <w:t xml:space="preserve"> </w:t>
                  </w:r>
                  <w:r>
                    <w:rPr>
                      <w:vertAlign w:val="subscript"/>
                    </w:rPr>
                    <w:t>p</w:t>
                  </w:r>
                  <w:r>
                    <w:t xml:space="preserve"> = dose given intravenously, </w:t>
                  </w:r>
                  <w:r>
                    <w:rPr>
                      <w:i/>
                      <w:iCs/>
                    </w:rPr>
                    <w:t>t</w:t>
                  </w:r>
                  <w:r>
                    <w:t xml:space="preserve"> = time after administration of dose, and </w:t>
                  </w:r>
                  <w:r>
                    <w:rPr>
                      <w:i/>
                      <w:iCs/>
                    </w:rPr>
                    <w:t>a</w:t>
                  </w:r>
                  <w:r>
                    <w:t xml:space="preserve"> and </w:t>
                  </w:r>
                  <w:r>
                    <w:rPr>
                      <w:i/>
                      <w:iCs/>
                    </w:rPr>
                    <w:t>b</w:t>
                  </w:r>
                  <w:r>
                    <w:t xml:space="preserve"> are constants that depend solely on </w:t>
                  </w:r>
                  <w:r>
                    <w:rPr>
                      <w:i/>
                      <w:iCs/>
                    </w:rPr>
                    <w:t>k</w:t>
                  </w:r>
                  <w:r>
                    <w:t xml:space="preserve"> </w:t>
                  </w:r>
                  <w:r>
                    <w:rPr>
                      <w:vertAlign w:val="subscript"/>
                    </w:rPr>
                    <w:t>12</w:t>
                  </w:r>
                  <w:r>
                    <w:t xml:space="preserve">, </w:t>
                  </w:r>
                  <w:r>
                    <w:rPr>
                      <w:i/>
                      <w:iCs/>
                    </w:rPr>
                    <w:t>k</w:t>
                  </w:r>
                  <w:r>
                    <w:t xml:space="preserve"> </w:t>
                  </w:r>
                  <w:r>
                    <w:rPr>
                      <w:vertAlign w:val="subscript"/>
                    </w:rPr>
                    <w:t>21</w:t>
                  </w:r>
                  <w:r>
                    <w:t xml:space="preserve">, and </w:t>
                  </w:r>
                  <w:r>
                    <w:rPr>
                      <w:i/>
                      <w:iCs/>
                    </w:rPr>
                    <w:t>k</w:t>
                  </w:r>
                  <w:r>
                    <w:t>. The amount of drug remaining in the plasma and tissue compartment at any time may be described realistically by Equations 4.8 and 4.9.</w:t>
                  </w:r>
                </w:p>
                <w:p w14:paraId="0DC89D69" w14:textId="77777777" w:rsidR="00556141" w:rsidRDefault="00556141">
                  <w:pPr>
                    <w:pStyle w:val="contentbody"/>
                  </w:pPr>
                  <w:bookmarkStart w:id="38" w:name="2486074"/>
                  <w:bookmarkEnd w:id="38"/>
                  <w:r>
                    <w:t xml:space="preserve">The rate constants for the transfer of drug between compartments are referred to as </w:t>
                  </w:r>
                  <w:r>
                    <w:rPr>
                      <w:i/>
                      <w:iCs/>
                    </w:rPr>
                    <w:t>microconstants</w:t>
                  </w:r>
                  <w:r>
                    <w:t xml:space="preserve"> or </w:t>
                  </w:r>
                  <w:r>
                    <w:rPr>
                      <w:i/>
                      <w:iCs/>
                    </w:rPr>
                    <w:t>transfer constants</w:t>
                  </w:r>
                  <w:r>
                    <w:t>, and relate the amount of drug being transferred per unit time from one compartment to the other. The values for these microconstants cannot be determined by direct measurement but can be estimated by a graphic method.</w:t>
                  </w:r>
                </w:p>
                <w:p w14:paraId="644B7F10" w14:textId="1B8806C1" w:rsidR="00556141" w:rsidRDefault="00556141">
                  <w:pPr>
                    <w:pStyle w:val="contentbody"/>
                  </w:pPr>
                  <w:bookmarkStart w:id="39" w:name="2486300"/>
                  <w:bookmarkStart w:id="40" w:name="2486075"/>
                  <w:bookmarkEnd w:id="39"/>
                  <w:bookmarkEnd w:id="40"/>
                  <w:r>
                    <w:rPr>
                      <w:noProof/>
                    </w:rPr>
                    <mc:AlternateContent>
                      <mc:Choice Requires="wps">
                        <w:drawing>
                          <wp:inline distT="0" distB="0" distL="0" distR="0" wp14:anchorId="4B5D93A5" wp14:editId="54F37979">
                            <wp:extent cx="304800" cy="304800"/>
                            <wp:effectExtent l="0" t="0" r="0" b="0"/>
                            <wp:docPr id="1666702037"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A0305" id="Rectangle 1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567250" w14:textId="77777777" w:rsidR="00556141" w:rsidRDefault="00556141">
                  <w:pPr>
                    <w:pStyle w:val="contentbody"/>
                  </w:pPr>
                  <w:bookmarkStart w:id="41" w:name="2486077"/>
                  <w:bookmarkEnd w:id="41"/>
                  <w:r>
                    <w:t xml:space="preserve">The constants </w:t>
                  </w:r>
                  <w:r>
                    <w:rPr>
                      <w:i/>
                      <w:iCs/>
                    </w:rPr>
                    <w:t>a</w:t>
                  </w:r>
                  <w:r>
                    <w:t xml:space="preserve"> and </w:t>
                  </w:r>
                  <w:r>
                    <w:rPr>
                      <w:i/>
                      <w:iCs/>
                    </w:rPr>
                    <w:t>b</w:t>
                  </w:r>
                  <w:r>
                    <w:t xml:space="preserve"> are hybrid first-order rate constants for the distribution phase and elimination phase, respectively. The mathematical relationship of </w:t>
                  </w:r>
                  <w:r>
                    <w:rPr>
                      <w:i/>
                      <w:iCs/>
                    </w:rPr>
                    <w:t>a</w:t>
                  </w:r>
                  <w:r>
                    <w:t xml:space="preserve"> and </w:t>
                  </w:r>
                  <w:r>
                    <w:rPr>
                      <w:i/>
                      <w:iCs/>
                    </w:rPr>
                    <w:t>b</w:t>
                  </w:r>
                  <w:r>
                    <w:t xml:space="preserve"> to the rate constants are given by Equations 4.10 and 4.11, which are derived after integration of Equations 4.4 and 4.5. Equation 4.6 can be transformed into the following expression:</w:t>
                  </w:r>
                </w:p>
                <w:p w14:paraId="726C374F" w14:textId="4D43EEB2" w:rsidR="00556141" w:rsidRDefault="00556141">
                  <w:pPr>
                    <w:pStyle w:val="contentbody"/>
                  </w:pPr>
                  <w:bookmarkStart w:id="42" w:name="2486302"/>
                  <w:bookmarkStart w:id="43" w:name="2486078"/>
                  <w:bookmarkEnd w:id="42"/>
                  <w:bookmarkEnd w:id="43"/>
                  <w:r>
                    <w:rPr>
                      <w:noProof/>
                    </w:rPr>
                    <mc:AlternateContent>
                      <mc:Choice Requires="wps">
                        <w:drawing>
                          <wp:inline distT="0" distB="0" distL="0" distR="0" wp14:anchorId="5FF6038C" wp14:editId="69C88930">
                            <wp:extent cx="304800" cy="304800"/>
                            <wp:effectExtent l="0" t="0" r="0" b="0"/>
                            <wp:docPr id="1353288838"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33763" id="Rectangle 1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92C025" w14:textId="77777777" w:rsidR="00556141" w:rsidRDefault="00556141">
                  <w:pPr>
                    <w:pStyle w:val="contentbody"/>
                  </w:pPr>
                  <w:bookmarkStart w:id="44" w:name="2486079"/>
                  <w:bookmarkEnd w:id="44"/>
                  <w:r>
                    <w:t xml:space="preserve">The constants </w:t>
                  </w:r>
                  <w:r>
                    <w:rPr>
                      <w:i/>
                      <w:iCs/>
                    </w:rPr>
                    <w:t>a</w:t>
                  </w:r>
                  <w:r>
                    <w:t xml:space="preserve"> and </w:t>
                  </w:r>
                  <w:r>
                    <w:rPr>
                      <w:i/>
                      <w:iCs/>
                    </w:rPr>
                    <w:t>b</w:t>
                  </w:r>
                  <w:r>
                    <w:t xml:space="preserve"> are rate constants for the distribution phase and elimination phase, respectively. The constants </w:t>
                  </w:r>
                  <w:r>
                    <w:rPr>
                      <w:i/>
                      <w:iCs/>
                    </w:rPr>
                    <w:t>A</w:t>
                  </w:r>
                  <w:r>
                    <w:t xml:space="preserve"> and </w:t>
                  </w:r>
                  <w:r>
                    <w:rPr>
                      <w:i/>
                      <w:iCs/>
                    </w:rPr>
                    <w:t>B</w:t>
                  </w:r>
                  <w:r>
                    <w:t xml:space="preserve"> are intercepts on the </w:t>
                  </w:r>
                  <w:r>
                    <w:rPr>
                      <w:i/>
                      <w:iCs/>
                    </w:rPr>
                    <w:t xml:space="preserve">y </w:t>
                  </w:r>
                  <w:r>
                    <w:t xml:space="preserve">axis for each exponential segment of the curve in Equation 4.12. These values may be obtained graphically by the method of residuals or by computer. Intercepts </w:t>
                  </w:r>
                  <w:r>
                    <w:rPr>
                      <w:i/>
                      <w:iCs/>
                    </w:rPr>
                    <w:t>A</w:t>
                  </w:r>
                  <w:r>
                    <w:t xml:space="preserve"> and </w:t>
                  </w:r>
                  <w:r>
                    <w:rPr>
                      <w:i/>
                      <w:iCs/>
                    </w:rPr>
                    <w:t>B</w:t>
                  </w:r>
                  <w:r>
                    <w:t xml:space="preserve"> are actually hybrid constants, as shown in Equations 4.13 and 4.14, and do not have actual physiologic significance.</w:t>
                  </w:r>
                </w:p>
                <w:p w14:paraId="64E21B63" w14:textId="6F38A08D" w:rsidR="00556141" w:rsidRDefault="00556141">
                  <w:pPr>
                    <w:pStyle w:val="contentbody"/>
                  </w:pPr>
                  <w:bookmarkStart w:id="45" w:name="2486303"/>
                  <w:bookmarkStart w:id="46" w:name="2486080"/>
                  <w:bookmarkEnd w:id="45"/>
                  <w:bookmarkEnd w:id="46"/>
                  <w:r>
                    <w:rPr>
                      <w:noProof/>
                    </w:rPr>
                    <mc:AlternateContent>
                      <mc:Choice Requires="wps">
                        <w:drawing>
                          <wp:inline distT="0" distB="0" distL="0" distR="0" wp14:anchorId="7BF2ED32" wp14:editId="6DDDC0C1">
                            <wp:extent cx="304800" cy="304800"/>
                            <wp:effectExtent l="0" t="0" r="0" b="0"/>
                            <wp:docPr id="2133703124"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876AB" id="Rectangle 1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419DE6" w14:textId="77777777" w:rsidR="00556141" w:rsidRDefault="00556141">
                  <w:pPr>
                    <w:pStyle w:val="contenthead2"/>
                  </w:pPr>
                  <w:bookmarkStart w:id="47" w:name="2486082"/>
                  <w:bookmarkEnd w:id="47"/>
                  <w:r>
                    <w:t>Method of Residuals</w:t>
                  </w:r>
                </w:p>
                <w:p w14:paraId="5D5360D6" w14:textId="77777777" w:rsidR="00556141" w:rsidRDefault="00556141">
                  <w:pPr>
                    <w:pStyle w:val="contentbody"/>
                  </w:pPr>
                  <w:bookmarkStart w:id="48" w:name="2486083"/>
                  <w:bookmarkEnd w:id="48"/>
                  <w:r>
                    <w:t xml:space="preserve">The </w:t>
                  </w:r>
                  <w:r>
                    <w:rPr>
                      <w:i/>
                      <w:iCs/>
                    </w:rPr>
                    <w:t>method of residuals</w:t>
                  </w:r>
                  <w:r>
                    <w:t xml:space="preserve"> (also known as </w:t>
                  </w:r>
                  <w:r>
                    <w:rPr>
                      <w:i/>
                      <w:iCs/>
                    </w:rPr>
                    <w:t>feathering</w:t>
                  </w:r>
                  <w:r>
                    <w:t xml:space="preserve"> or </w:t>
                  </w:r>
                  <w:r>
                    <w:rPr>
                      <w:i/>
                      <w:iCs/>
                    </w:rPr>
                    <w:t>peeling</w:t>
                  </w:r>
                  <w:r>
                    <w:t>) is a useful procedure for fitting a curve to the experimental data of a drug when the drug does not clearly follow a one-compartment model. For example, 100 mg of a drug was administered by rapid IV injection to a 70-kg, healthy adult male. Blood samples were taken periodically after the administration of drug, and the plasma fraction of each sample was assayed for drug. The following data were obtained: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2"/>
                  </w:tblGrid>
                  <w:tr w:rsidR="00556141" w14:paraId="1224EF4B"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3390"/>
                        </w:tblGrid>
                        <w:tr w:rsidR="00556141" w14:paraId="204ED903" w14:textId="77777777">
                          <w:trPr>
                            <w:tblHeader/>
                            <w:tblCellSpacing w:w="7" w:type="dxa"/>
                          </w:trPr>
                          <w:tc>
                            <w:tcPr>
                              <w:tcW w:w="0" w:type="auto"/>
                              <w:shd w:val="clear" w:color="auto" w:fill="FFFFFF"/>
                              <w:hideMark/>
                            </w:tcPr>
                            <w:p w14:paraId="62B6DB3D" w14:textId="77777777" w:rsidR="00556141" w:rsidRDefault="00556141">
                              <w:pPr>
                                <w:rPr>
                                  <w:b/>
                                  <w:bCs/>
                                </w:rPr>
                              </w:pPr>
                              <w:r>
                                <w:rPr>
                                  <w:b/>
                                  <w:bCs/>
                                </w:rPr>
                                <w:t>Time (hr)</w:t>
                              </w:r>
                            </w:p>
                          </w:tc>
                          <w:tc>
                            <w:tcPr>
                              <w:tcW w:w="0" w:type="auto"/>
                              <w:shd w:val="clear" w:color="auto" w:fill="FFFFFF"/>
                              <w:hideMark/>
                            </w:tcPr>
                            <w:p w14:paraId="1C05A9C6" w14:textId="7476D160" w:rsidR="00556141" w:rsidRDefault="00556141">
                              <w:pPr>
                                <w:rPr>
                                  <w:b/>
                                  <w:bCs/>
                                </w:rPr>
                              </w:pPr>
                              <w:r>
                                <w:rPr>
                                  <w:b/>
                                  <w:bCs/>
                                </w:rPr>
                                <w:t>Plasma Concentration (</w:t>
                              </w:r>
                              <w:r>
                                <w:rPr>
                                  <w:b/>
                                  <w:bCs/>
                                  <w:noProof/>
                                </w:rPr>
                                <mc:AlternateContent>
                                  <mc:Choice Requires="wps">
                                    <w:drawing>
                                      <wp:inline distT="0" distB="0" distL="0" distR="0" wp14:anchorId="3182811D" wp14:editId="57550A3E">
                                        <wp:extent cx="304800" cy="304800"/>
                                        <wp:effectExtent l="0" t="0" r="0" b="0"/>
                                        <wp:docPr id="1069033321"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E208A" id="Rectangle 1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p>
                          </w:tc>
                        </w:tr>
                        <w:tr w:rsidR="00556141" w14:paraId="4DDA7964" w14:textId="77777777">
                          <w:trPr>
                            <w:tblCellSpacing w:w="7" w:type="dxa"/>
                          </w:trPr>
                          <w:tc>
                            <w:tcPr>
                              <w:tcW w:w="0" w:type="auto"/>
                              <w:shd w:val="clear" w:color="auto" w:fill="FFFFFF"/>
                              <w:hideMark/>
                            </w:tcPr>
                            <w:p w14:paraId="0BE817E4" w14:textId="77777777" w:rsidR="00556141" w:rsidRDefault="00556141">
                              <w:r>
                                <w:t>0.25</w:t>
                              </w:r>
                            </w:p>
                          </w:tc>
                          <w:tc>
                            <w:tcPr>
                              <w:tcW w:w="0" w:type="auto"/>
                              <w:shd w:val="clear" w:color="auto" w:fill="FFFFFF"/>
                              <w:hideMark/>
                            </w:tcPr>
                            <w:p w14:paraId="61E94A76" w14:textId="77777777" w:rsidR="00556141" w:rsidRDefault="00556141">
                              <w:r>
                                <w:t>43.00</w:t>
                              </w:r>
                            </w:p>
                          </w:tc>
                        </w:tr>
                        <w:tr w:rsidR="00556141" w14:paraId="746B20E0" w14:textId="77777777">
                          <w:trPr>
                            <w:tblCellSpacing w:w="7" w:type="dxa"/>
                          </w:trPr>
                          <w:tc>
                            <w:tcPr>
                              <w:tcW w:w="0" w:type="auto"/>
                              <w:shd w:val="clear" w:color="auto" w:fill="FFFFFF"/>
                              <w:hideMark/>
                            </w:tcPr>
                            <w:p w14:paraId="516FDA14" w14:textId="77777777" w:rsidR="00556141" w:rsidRDefault="00556141">
                              <w:r>
                                <w:lastRenderedPageBreak/>
                                <w:t>0.5</w:t>
                              </w:r>
                            </w:p>
                          </w:tc>
                          <w:tc>
                            <w:tcPr>
                              <w:tcW w:w="0" w:type="auto"/>
                              <w:shd w:val="clear" w:color="auto" w:fill="FFFFFF"/>
                              <w:hideMark/>
                            </w:tcPr>
                            <w:p w14:paraId="4B0E088F" w14:textId="77777777" w:rsidR="00556141" w:rsidRDefault="00556141">
                              <w:r>
                                <w:t>32.00</w:t>
                              </w:r>
                            </w:p>
                          </w:tc>
                        </w:tr>
                        <w:tr w:rsidR="00556141" w14:paraId="24C98211" w14:textId="77777777">
                          <w:trPr>
                            <w:tblCellSpacing w:w="7" w:type="dxa"/>
                          </w:trPr>
                          <w:tc>
                            <w:tcPr>
                              <w:tcW w:w="0" w:type="auto"/>
                              <w:shd w:val="clear" w:color="auto" w:fill="FFFFFF"/>
                              <w:hideMark/>
                            </w:tcPr>
                            <w:p w14:paraId="4CD923CA" w14:textId="77777777" w:rsidR="00556141" w:rsidRDefault="00556141">
                              <w:r>
                                <w:t>1.0</w:t>
                              </w:r>
                            </w:p>
                          </w:tc>
                          <w:tc>
                            <w:tcPr>
                              <w:tcW w:w="0" w:type="auto"/>
                              <w:shd w:val="clear" w:color="auto" w:fill="FFFFFF"/>
                              <w:hideMark/>
                            </w:tcPr>
                            <w:p w14:paraId="413EE44F" w14:textId="77777777" w:rsidR="00556141" w:rsidRDefault="00556141">
                              <w:r>
                                <w:t>20.00</w:t>
                              </w:r>
                            </w:p>
                          </w:tc>
                        </w:tr>
                        <w:tr w:rsidR="00556141" w14:paraId="46904B9B" w14:textId="77777777">
                          <w:trPr>
                            <w:tblCellSpacing w:w="7" w:type="dxa"/>
                          </w:trPr>
                          <w:tc>
                            <w:tcPr>
                              <w:tcW w:w="0" w:type="auto"/>
                              <w:shd w:val="clear" w:color="auto" w:fill="FFFFFF"/>
                              <w:hideMark/>
                            </w:tcPr>
                            <w:p w14:paraId="618F9812" w14:textId="77777777" w:rsidR="00556141" w:rsidRDefault="00556141">
                              <w:r>
                                <w:t>1.5</w:t>
                              </w:r>
                            </w:p>
                          </w:tc>
                          <w:tc>
                            <w:tcPr>
                              <w:tcW w:w="0" w:type="auto"/>
                              <w:shd w:val="clear" w:color="auto" w:fill="FFFFFF"/>
                              <w:hideMark/>
                            </w:tcPr>
                            <w:p w14:paraId="5CC9D8D5" w14:textId="77777777" w:rsidR="00556141" w:rsidRDefault="00556141">
                              <w:r>
                                <w:t>14.00</w:t>
                              </w:r>
                            </w:p>
                          </w:tc>
                        </w:tr>
                        <w:tr w:rsidR="00556141" w14:paraId="7536549F" w14:textId="77777777">
                          <w:trPr>
                            <w:tblCellSpacing w:w="7" w:type="dxa"/>
                          </w:trPr>
                          <w:tc>
                            <w:tcPr>
                              <w:tcW w:w="0" w:type="auto"/>
                              <w:shd w:val="clear" w:color="auto" w:fill="FFFFFF"/>
                              <w:hideMark/>
                            </w:tcPr>
                            <w:p w14:paraId="28B14630" w14:textId="77777777" w:rsidR="00556141" w:rsidRDefault="00556141">
                              <w:r>
                                <w:t>2.0</w:t>
                              </w:r>
                            </w:p>
                          </w:tc>
                          <w:tc>
                            <w:tcPr>
                              <w:tcW w:w="0" w:type="auto"/>
                              <w:shd w:val="clear" w:color="auto" w:fill="FFFFFF"/>
                              <w:hideMark/>
                            </w:tcPr>
                            <w:p w14:paraId="33DE60DA" w14:textId="77777777" w:rsidR="00556141" w:rsidRDefault="00556141">
                              <w:r>
                                <w:t>11.00</w:t>
                              </w:r>
                            </w:p>
                          </w:tc>
                        </w:tr>
                        <w:tr w:rsidR="00556141" w14:paraId="7F51803D" w14:textId="77777777">
                          <w:trPr>
                            <w:tblCellSpacing w:w="7" w:type="dxa"/>
                          </w:trPr>
                          <w:tc>
                            <w:tcPr>
                              <w:tcW w:w="0" w:type="auto"/>
                              <w:shd w:val="clear" w:color="auto" w:fill="FFFFFF"/>
                              <w:hideMark/>
                            </w:tcPr>
                            <w:p w14:paraId="40595844" w14:textId="77777777" w:rsidR="00556141" w:rsidRDefault="00556141">
                              <w:r>
                                <w:t>4.0</w:t>
                              </w:r>
                            </w:p>
                          </w:tc>
                          <w:tc>
                            <w:tcPr>
                              <w:tcW w:w="0" w:type="auto"/>
                              <w:shd w:val="clear" w:color="auto" w:fill="FFFFFF"/>
                              <w:hideMark/>
                            </w:tcPr>
                            <w:p w14:paraId="3E9BEFF6" w14:textId="77777777" w:rsidR="00556141" w:rsidRDefault="00556141">
                              <w:r>
                                <w:t>6.50</w:t>
                              </w:r>
                            </w:p>
                          </w:tc>
                        </w:tr>
                        <w:tr w:rsidR="00556141" w14:paraId="35CA8B9D" w14:textId="77777777">
                          <w:trPr>
                            <w:tblCellSpacing w:w="7" w:type="dxa"/>
                          </w:trPr>
                          <w:tc>
                            <w:tcPr>
                              <w:tcW w:w="0" w:type="auto"/>
                              <w:shd w:val="clear" w:color="auto" w:fill="FFFFFF"/>
                              <w:hideMark/>
                            </w:tcPr>
                            <w:p w14:paraId="74B19620" w14:textId="77777777" w:rsidR="00556141" w:rsidRDefault="00556141">
                              <w:r>
                                <w:t>8.0</w:t>
                              </w:r>
                            </w:p>
                          </w:tc>
                          <w:tc>
                            <w:tcPr>
                              <w:tcW w:w="0" w:type="auto"/>
                              <w:shd w:val="clear" w:color="auto" w:fill="FFFFFF"/>
                              <w:hideMark/>
                            </w:tcPr>
                            <w:p w14:paraId="5BD92E1A" w14:textId="77777777" w:rsidR="00556141" w:rsidRDefault="00556141">
                              <w:r>
                                <w:t>2.80</w:t>
                              </w:r>
                            </w:p>
                          </w:tc>
                        </w:tr>
                        <w:tr w:rsidR="00556141" w14:paraId="7CC2EA72" w14:textId="77777777">
                          <w:trPr>
                            <w:tblCellSpacing w:w="7" w:type="dxa"/>
                          </w:trPr>
                          <w:tc>
                            <w:tcPr>
                              <w:tcW w:w="0" w:type="auto"/>
                              <w:shd w:val="clear" w:color="auto" w:fill="FFFFFF"/>
                              <w:hideMark/>
                            </w:tcPr>
                            <w:p w14:paraId="365ADCA7" w14:textId="77777777" w:rsidR="00556141" w:rsidRDefault="00556141">
                              <w:r>
                                <w:t>12.0</w:t>
                              </w:r>
                            </w:p>
                          </w:tc>
                          <w:tc>
                            <w:tcPr>
                              <w:tcW w:w="0" w:type="auto"/>
                              <w:shd w:val="clear" w:color="auto" w:fill="FFFFFF"/>
                              <w:hideMark/>
                            </w:tcPr>
                            <w:p w14:paraId="56CFCB9B" w14:textId="77777777" w:rsidR="00556141" w:rsidRDefault="00556141">
                              <w:r>
                                <w:t>1.20</w:t>
                              </w:r>
                            </w:p>
                          </w:tc>
                        </w:tr>
                        <w:tr w:rsidR="00556141" w14:paraId="4CFB5A46" w14:textId="77777777">
                          <w:trPr>
                            <w:tblCellSpacing w:w="7" w:type="dxa"/>
                          </w:trPr>
                          <w:tc>
                            <w:tcPr>
                              <w:tcW w:w="0" w:type="auto"/>
                              <w:shd w:val="clear" w:color="auto" w:fill="FFFFFF"/>
                              <w:hideMark/>
                            </w:tcPr>
                            <w:p w14:paraId="5CA92241" w14:textId="77777777" w:rsidR="00556141" w:rsidRDefault="00556141">
                              <w:r>
                                <w:t>16.0</w:t>
                              </w:r>
                            </w:p>
                          </w:tc>
                          <w:tc>
                            <w:tcPr>
                              <w:tcW w:w="0" w:type="auto"/>
                              <w:shd w:val="clear" w:color="auto" w:fill="FFFFFF"/>
                              <w:hideMark/>
                            </w:tcPr>
                            <w:p w14:paraId="5F9407C8" w14:textId="77777777" w:rsidR="00556141" w:rsidRDefault="00556141">
                              <w:r>
                                <w:t>0.52</w:t>
                              </w:r>
                            </w:p>
                          </w:tc>
                        </w:tr>
                      </w:tbl>
                      <w:p w14:paraId="61C3085E" w14:textId="77777777" w:rsidR="00556141" w:rsidRDefault="00556141"/>
                    </w:tc>
                  </w:tr>
                  <w:tr w:rsidR="00556141" w14:paraId="56858F83" w14:textId="77777777">
                    <w:trPr>
                      <w:tblCellSpacing w:w="0" w:type="dxa"/>
                    </w:trPr>
                    <w:tc>
                      <w:tcPr>
                        <w:tcW w:w="0" w:type="auto"/>
                        <w:shd w:val="clear" w:color="auto" w:fill="FFFFFF"/>
                        <w:vAlign w:val="center"/>
                        <w:hideMark/>
                      </w:tcPr>
                      <w:p w14:paraId="2DFCCE5D" w14:textId="77777777" w:rsidR="00556141" w:rsidRDefault="00556141">
                        <w:pPr>
                          <w:rPr>
                            <w:sz w:val="24"/>
                            <w:szCs w:val="24"/>
                          </w:rPr>
                        </w:pPr>
                      </w:p>
                    </w:tc>
                  </w:tr>
                </w:tbl>
                <w:p w14:paraId="5CDF8A9A" w14:textId="77777777" w:rsidR="00556141" w:rsidRDefault="00556141">
                  <w:pPr>
                    <w:pStyle w:val="contentbody"/>
                  </w:pPr>
                  <w:bookmarkStart w:id="49" w:name="2486084"/>
                  <w:bookmarkEnd w:id="49"/>
                  <w:r>
                    <w:t>When these data are plotted on semilogarithmic graph paper, a curved line is observed (). The curved-line relationship between the logarithm of the plasma concentration and time indicates that the drug is distributed in more than one compartment. From these data a biexponential equation, Equation 4.12, may be derived, either by computer or by the method of residuals.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40443DA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39901FFD" w14:textId="77777777">
                          <w:trPr>
                            <w:tblCellSpacing w:w="7" w:type="dxa"/>
                          </w:trPr>
                          <w:tc>
                            <w:tcPr>
                              <w:tcW w:w="0" w:type="auto"/>
                              <w:shd w:val="clear" w:color="auto" w:fill="CCCCCC"/>
                              <w:vAlign w:val="center"/>
                              <w:hideMark/>
                            </w:tcPr>
                            <w:p w14:paraId="06D51303" w14:textId="77777777" w:rsidR="00556141" w:rsidRDefault="00556141">
                              <w:pPr>
                                <w:pStyle w:val="tabletitle"/>
                              </w:pPr>
                              <w:bookmarkStart w:id="50" w:name="2486277"/>
                              <w:bookmarkEnd w:id="50"/>
                              <w:r>
                                <w:t>Figure 4-4.</w:t>
                              </w:r>
                            </w:p>
                            <w:p w14:paraId="3746FE22" w14:textId="77777777" w:rsidR="00556141" w:rsidRDefault="00556141"/>
                          </w:tc>
                        </w:tr>
                      </w:tbl>
                      <w:p w14:paraId="69280B3E" w14:textId="77777777" w:rsidR="00556141" w:rsidRDefault="00556141"/>
                    </w:tc>
                  </w:tr>
                  <w:tr w:rsidR="00556141" w14:paraId="7A40EC9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7F5E2983" w14:textId="77777777">
                          <w:trPr>
                            <w:tblCellSpacing w:w="7" w:type="dxa"/>
                          </w:trPr>
                          <w:tc>
                            <w:tcPr>
                              <w:tcW w:w="0" w:type="auto"/>
                              <w:shd w:val="clear" w:color="auto" w:fill="FFFFFF"/>
                              <w:vAlign w:val="center"/>
                              <w:hideMark/>
                            </w:tcPr>
                            <w:p w14:paraId="14FE6B11" w14:textId="3AE7C57C" w:rsidR="00556141" w:rsidRDefault="00556141">
                              <w:pPr>
                                <w:jc w:val="center"/>
                                <w:rPr>
                                  <w:sz w:val="24"/>
                                  <w:szCs w:val="24"/>
                                </w:rPr>
                              </w:pPr>
                              <w:r>
                                <w:rPr>
                                  <w:noProof/>
                                </w:rPr>
                                <mc:AlternateContent>
                                  <mc:Choice Requires="wps">
                                    <w:drawing>
                                      <wp:inline distT="0" distB="0" distL="0" distR="0" wp14:anchorId="76A00960" wp14:editId="28AAC8D8">
                                        <wp:extent cx="304800" cy="304800"/>
                                        <wp:effectExtent l="0" t="0" r="0" b="0"/>
                                        <wp:docPr id="297309270"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85887" id="Rectangle 1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6AD6E337" w14:textId="77777777">
                          <w:trPr>
                            <w:tblCellSpacing w:w="7" w:type="dxa"/>
                          </w:trPr>
                          <w:tc>
                            <w:tcPr>
                              <w:tcW w:w="0" w:type="auto"/>
                              <w:shd w:val="clear" w:color="auto" w:fill="FFFFFF"/>
                              <w:vAlign w:val="center"/>
                              <w:hideMark/>
                            </w:tcPr>
                            <w:p w14:paraId="5A6B8B96" w14:textId="77777777" w:rsidR="00556141" w:rsidRDefault="00556141">
                              <w:pPr>
                                <w:pStyle w:val="font11"/>
                              </w:pPr>
                              <w:bookmarkStart w:id="51" w:name="2486278"/>
                              <w:bookmarkEnd w:id="51"/>
                              <w:r>
                                <w:t>Plasma level–time curve for a two-compartment open model. The rate constants and intercepts were calculated by the method of residuals.</w:t>
                              </w:r>
                            </w:p>
                          </w:tc>
                        </w:tr>
                      </w:tbl>
                      <w:p w14:paraId="50D79A22" w14:textId="77777777" w:rsidR="00556141" w:rsidRDefault="00556141"/>
                    </w:tc>
                  </w:tr>
                </w:tbl>
                <w:p w14:paraId="27C0EEFD" w14:textId="77777777" w:rsidR="00556141" w:rsidRDefault="00556141">
                  <w:pPr>
                    <w:pStyle w:val="contentbody"/>
                  </w:pPr>
                  <w:bookmarkStart w:id="52" w:name="2486085"/>
                  <w:bookmarkEnd w:id="52"/>
                  <w:r>
                    <w:t xml:space="preserve">As shown in the biexponential curve in , the decline in the initial distribution phase is more rapid than the elimination phase. The rapid distribution phase is confirmed with the constant </w:t>
                  </w:r>
                  <w:r>
                    <w:rPr>
                      <w:i/>
                      <w:iCs/>
                    </w:rPr>
                    <w:t>a</w:t>
                  </w:r>
                  <w:r>
                    <w:t xml:space="preserve"> being larger than the rate constant </w:t>
                  </w:r>
                  <w:r>
                    <w:rPr>
                      <w:i/>
                      <w:iCs/>
                    </w:rPr>
                    <w:t>b</w:t>
                  </w:r>
                  <w:r>
                    <w:t xml:space="preserve">. Therefore, at some later time the term </w:t>
                  </w:r>
                  <w:r>
                    <w:rPr>
                      <w:i/>
                      <w:iCs/>
                    </w:rPr>
                    <w:t>Ae</w:t>
                  </w:r>
                  <w:r>
                    <w:rPr>
                      <w:i/>
                      <w:iCs/>
                      <w:vertAlign w:val="superscript"/>
                    </w:rPr>
                    <w:t>–at</w:t>
                  </w:r>
                  <w:r>
                    <w:rPr>
                      <w:i/>
                      <w:iCs/>
                    </w:rPr>
                    <w:t xml:space="preserve"> </w:t>
                  </w:r>
                  <w:r>
                    <w:t xml:space="preserve">will approach zero, while </w:t>
                  </w:r>
                  <w:r>
                    <w:rPr>
                      <w:i/>
                      <w:iCs/>
                    </w:rPr>
                    <w:t>Be</w:t>
                  </w:r>
                  <w:r>
                    <w:rPr>
                      <w:i/>
                      <w:iCs/>
                      <w:vertAlign w:val="superscript"/>
                    </w:rPr>
                    <w:t>–bt</w:t>
                  </w:r>
                  <w:r>
                    <w:rPr>
                      <w:i/>
                      <w:iCs/>
                    </w:rPr>
                    <w:t xml:space="preserve"> </w:t>
                  </w:r>
                  <w:r>
                    <w:t>will still have a value. At this later time Equation 4.12 will reduce to</w:t>
                  </w:r>
                </w:p>
                <w:p w14:paraId="2F9D3840" w14:textId="4B5BD49B" w:rsidR="00556141" w:rsidRDefault="00556141">
                  <w:pPr>
                    <w:pStyle w:val="contentbody"/>
                  </w:pPr>
                  <w:bookmarkStart w:id="53" w:name="2486305"/>
                  <w:bookmarkStart w:id="54" w:name="2486086"/>
                  <w:bookmarkEnd w:id="53"/>
                  <w:bookmarkEnd w:id="54"/>
                  <w:r>
                    <w:rPr>
                      <w:noProof/>
                    </w:rPr>
                    <mc:AlternateContent>
                      <mc:Choice Requires="wps">
                        <w:drawing>
                          <wp:inline distT="0" distB="0" distL="0" distR="0" wp14:anchorId="7494B1E4" wp14:editId="26E8C860">
                            <wp:extent cx="304800" cy="304800"/>
                            <wp:effectExtent l="0" t="0" r="0" b="0"/>
                            <wp:docPr id="1095629032"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F46B5" id="Rectangle 1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83CF02" w14:textId="77777777" w:rsidR="00556141" w:rsidRDefault="00556141">
                  <w:pPr>
                    <w:pStyle w:val="contentbody"/>
                  </w:pPr>
                  <w:bookmarkStart w:id="55" w:name="2486087"/>
                  <w:bookmarkEnd w:id="55"/>
                  <w:r>
                    <w:t>which, in common logarithms, is</w:t>
                  </w:r>
                </w:p>
                <w:p w14:paraId="04A95ED1" w14:textId="7CB8E46B" w:rsidR="00556141" w:rsidRDefault="00556141">
                  <w:pPr>
                    <w:pStyle w:val="contentbody"/>
                  </w:pPr>
                  <w:bookmarkStart w:id="56" w:name="2486306"/>
                  <w:bookmarkStart w:id="57" w:name="2486088"/>
                  <w:bookmarkEnd w:id="56"/>
                  <w:bookmarkEnd w:id="57"/>
                  <w:r>
                    <w:rPr>
                      <w:noProof/>
                    </w:rPr>
                    <mc:AlternateContent>
                      <mc:Choice Requires="wps">
                        <w:drawing>
                          <wp:inline distT="0" distB="0" distL="0" distR="0" wp14:anchorId="07796826" wp14:editId="2E5B397B">
                            <wp:extent cx="304800" cy="304800"/>
                            <wp:effectExtent l="0" t="0" r="0" b="0"/>
                            <wp:docPr id="556124765"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B292B" id="Rectangle 1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A7184B" w14:textId="77777777" w:rsidR="00556141" w:rsidRDefault="00556141">
                  <w:pPr>
                    <w:pStyle w:val="contentbody"/>
                  </w:pPr>
                  <w:bookmarkStart w:id="58" w:name="2486089"/>
                  <w:bookmarkEnd w:id="58"/>
                  <w:r>
                    <w:t>From Equation 4.16, the rate constant can be obtained from the slope ( –</w:t>
                  </w:r>
                  <w:r>
                    <w:rPr>
                      <w:i/>
                      <w:iCs/>
                    </w:rPr>
                    <w:t>b</w:t>
                  </w:r>
                  <w:r>
                    <w:t xml:space="preserve">/2.3) of a straight line representing the terminal exponential phase (). The </w:t>
                  </w:r>
                  <w:r>
                    <w:rPr>
                      <w:i/>
                      <w:iCs/>
                    </w:rPr>
                    <w:t>t</w:t>
                  </w:r>
                  <w:r>
                    <w:t xml:space="preserve"> </w:t>
                  </w:r>
                  <w:r>
                    <w:rPr>
                      <w:vertAlign w:val="subscript"/>
                    </w:rPr>
                    <w:t>1/2</w:t>
                  </w:r>
                  <w:r>
                    <w:t xml:space="preserve"> for the elimination phase (beta half-life) can be derived from the following relationship:</w:t>
                  </w:r>
                </w:p>
                <w:p w14:paraId="555BE111" w14:textId="54A83F7E" w:rsidR="00556141" w:rsidRDefault="00556141">
                  <w:pPr>
                    <w:pStyle w:val="contentbody"/>
                  </w:pPr>
                  <w:bookmarkStart w:id="59" w:name="2486307"/>
                  <w:bookmarkStart w:id="60" w:name="2486090"/>
                  <w:bookmarkEnd w:id="59"/>
                  <w:bookmarkEnd w:id="60"/>
                  <w:r>
                    <w:rPr>
                      <w:noProof/>
                    </w:rPr>
                    <mc:AlternateContent>
                      <mc:Choice Requires="wps">
                        <w:drawing>
                          <wp:inline distT="0" distB="0" distL="0" distR="0" wp14:anchorId="579D3812" wp14:editId="195107E3">
                            <wp:extent cx="304800" cy="304800"/>
                            <wp:effectExtent l="0" t="0" r="0" b="0"/>
                            <wp:docPr id="409346848"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FF2FB" id="Rectangle 10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D631B3" w14:textId="32839C9D" w:rsidR="00556141" w:rsidRDefault="00556141">
                  <w:pPr>
                    <w:pStyle w:val="contentbody"/>
                  </w:pPr>
                  <w:bookmarkStart w:id="61" w:name="2486091"/>
                  <w:bookmarkEnd w:id="61"/>
                  <w:r>
                    <w:t xml:space="preserve">In the sample case considered here, </w:t>
                  </w:r>
                  <w:r>
                    <w:rPr>
                      <w:i/>
                      <w:iCs/>
                    </w:rPr>
                    <w:t>b</w:t>
                  </w:r>
                  <w:r>
                    <w:t xml:space="preserve"> was found to be 0.21 hr</w:t>
                  </w:r>
                  <w:r>
                    <w:rPr>
                      <w:vertAlign w:val="superscript"/>
                    </w:rPr>
                    <w:t>–</w:t>
                  </w:r>
                  <w:r>
                    <w:t xml:space="preserve"> </w:t>
                  </w:r>
                  <w:r>
                    <w:rPr>
                      <w:vertAlign w:val="superscript"/>
                    </w:rPr>
                    <w:t>1</w:t>
                  </w:r>
                  <w:r>
                    <w:t xml:space="preserve">. From this information the regression line for the terminal exponential or </w:t>
                  </w:r>
                  <w:r>
                    <w:rPr>
                      <w:i/>
                      <w:iCs/>
                    </w:rPr>
                    <w:t>b</w:t>
                  </w:r>
                  <w:r>
                    <w:t xml:space="preserve"> phase is extrapolated to the </w:t>
                  </w:r>
                  <w:r>
                    <w:rPr>
                      <w:i/>
                      <w:iCs/>
                    </w:rPr>
                    <w:t>y</w:t>
                  </w:r>
                  <w:r>
                    <w:t xml:space="preserve"> axis; the </w:t>
                  </w:r>
                  <w:r>
                    <w:rPr>
                      <w:i/>
                      <w:iCs/>
                    </w:rPr>
                    <w:t>y</w:t>
                  </w:r>
                  <w:r>
                    <w:t xml:space="preserve"> intercept is equal to </w:t>
                  </w:r>
                  <w:r>
                    <w:rPr>
                      <w:i/>
                      <w:iCs/>
                    </w:rPr>
                    <w:t>B</w:t>
                  </w:r>
                  <w:r>
                    <w:t xml:space="preserve">, or 15 </w:t>
                  </w:r>
                  <w:r>
                    <w:rPr>
                      <w:noProof/>
                    </w:rPr>
                    <mc:AlternateContent>
                      <mc:Choice Requires="wps">
                        <w:drawing>
                          <wp:inline distT="0" distB="0" distL="0" distR="0" wp14:anchorId="457CE235" wp14:editId="13836342">
                            <wp:extent cx="304800" cy="304800"/>
                            <wp:effectExtent l="0" t="0" r="0" b="0"/>
                            <wp:docPr id="1705431961"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75DB7"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g/mL. Values from the extrapolated line are then subtracted from the original experimental data points () and a straight line is obtained. This line represents the rapidly distributed </w:t>
                  </w:r>
                  <w:r>
                    <w:rPr>
                      <w:i/>
                      <w:iCs/>
                    </w:rPr>
                    <w:t>a</w:t>
                  </w:r>
                  <w:r>
                    <w:t xml:space="preserve"> phase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56141" w14:paraId="529DD335"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56141" w14:paraId="7870727E" w14:textId="77777777">
                          <w:trPr>
                            <w:tblCellSpacing w:w="0" w:type="dxa"/>
                          </w:trPr>
                          <w:tc>
                            <w:tcPr>
                              <w:tcW w:w="0" w:type="auto"/>
                              <w:vAlign w:val="center"/>
                              <w:hideMark/>
                            </w:tcPr>
                            <w:p w14:paraId="743D88C6" w14:textId="77777777" w:rsidR="00556141" w:rsidRDefault="00556141">
                              <w:pPr>
                                <w:pStyle w:val="tabletitle"/>
                              </w:pPr>
                              <w:bookmarkStart w:id="62" w:name="2486261"/>
                              <w:bookmarkEnd w:id="62"/>
                              <w:r>
                                <w:t>Table 4.3 Application of the Method of Residuals</w:t>
                              </w:r>
                            </w:p>
                            <w:p w14:paraId="77B51195" w14:textId="77777777" w:rsidR="00556141" w:rsidRDefault="00556141"/>
                          </w:tc>
                        </w:tr>
                      </w:tbl>
                      <w:p w14:paraId="0CE5453C" w14:textId="77777777" w:rsidR="00556141" w:rsidRDefault="00556141"/>
                    </w:tc>
                  </w:tr>
                  <w:tr w:rsidR="00556141" w14:paraId="6DB0EF1A"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48"/>
                          <w:gridCol w:w="2371"/>
                          <w:gridCol w:w="3473"/>
                          <w:gridCol w:w="3412"/>
                        </w:tblGrid>
                        <w:tr w:rsidR="00556141" w14:paraId="6FEF48AA" w14:textId="77777777">
                          <w:trPr>
                            <w:tblHeader/>
                            <w:tblCellSpacing w:w="7" w:type="dxa"/>
                          </w:trPr>
                          <w:tc>
                            <w:tcPr>
                              <w:tcW w:w="0" w:type="auto"/>
                              <w:shd w:val="clear" w:color="auto" w:fill="FFFFFF"/>
                              <w:hideMark/>
                            </w:tcPr>
                            <w:p w14:paraId="0BBC6BE1" w14:textId="77777777" w:rsidR="00556141" w:rsidRDefault="00556141">
                              <w:pPr>
                                <w:rPr>
                                  <w:b/>
                                  <w:bCs/>
                                  <w:sz w:val="24"/>
                                  <w:szCs w:val="24"/>
                                </w:rPr>
                              </w:pPr>
                              <w:r>
                                <w:rPr>
                                  <w:b/>
                                  <w:bCs/>
                                </w:rPr>
                                <w:lastRenderedPageBreak/>
                                <w:t>TIME (hr)</w:t>
                              </w:r>
                            </w:p>
                          </w:tc>
                          <w:tc>
                            <w:tcPr>
                              <w:tcW w:w="0" w:type="auto"/>
                              <w:shd w:val="clear" w:color="auto" w:fill="FFFFFF"/>
                              <w:hideMark/>
                            </w:tcPr>
                            <w:p w14:paraId="56833F20" w14:textId="77777777" w:rsidR="00556141" w:rsidRDefault="00556141">
                              <w:pPr>
                                <w:rPr>
                                  <w:b/>
                                  <w:bCs/>
                                </w:rPr>
                              </w:pPr>
                              <w:r>
                                <w:rPr>
                                  <w:b/>
                                  <w:bCs/>
                                  <w:i/>
                                  <w:iCs/>
                                </w:rPr>
                                <w:t>C</w:t>
                              </w:r>
                              <w:r>
                                <w:rPr>
                                  <w:b/>
                                  <w:bCs/>
                                </w:rPr>
                                <w:t xml:space="preserve"> </w:t>
                              </w:r>
                              <w:r>
                                <w:rPr>
                                  <w:b/>
                                  <w:bCs/>
                                  <w:vertAlign w:val="subscript"/>
                                </w:rPr>
                                <w:t>p</w:t>
                              </w:r>
                              <w:r>
                                <w:rPr>
                                  <w:b/>
                                  <w:bCs/>
                                </w:rPr>
                                <w:t xml:space="preserve"> Observed Plasma Level</w:t>
                              </w:r>
                              <w:r>
                                <w:rPr>
                                  <w:b/>
                                  <w:bCs/>
                                </w:rPr>
                                <w:br/>
                                <w:t> </w:t>
                              </w:r>
                            </w:p>
                          </w:tc>
                          <w:tc>
                            <w:tcPr>
                              <w:tcW w:w="0" w:type="auto"/>
                              <w:shd w:val="clear" w:color="auto" w:fill="FFFFFF"/>
                              <w:hideMark/>
                            </w:tcPr>
                            <w:p w14:paraId="041984CC" w14:textId="77777777" w:rsidR="00556141" w:rsidRDefault="00556141">
                              <w:pPr>
                                <w:rPr>
                                  <w:b/>
                                  <w:bCs/>
                                </w:rPr>
                              </w:pPr>
                              <w:r>
                                <w:rPr>
                                  <w:b/>
                                  <w:bCs/>
                                  <w:i/>
                                  <w:iCs/>
                                </w:rPr>
                                <w:t>C'</w:t>
                              </w:r>
                              <w:r>
                                <w:rPr>
                                  <w:b/>
                                  <w:bCs/>
                                </w:rPr>
                                <w:t xml:space="preserve"> </w:t>
                              </w:r>
                              <w:r>
                                <w:rPr>
                                  <w:b/>
                                  <w:bCs/>
                                  <w:vertAlign w:val="subscript"/>
                                </w:rPr>
                                <w:t>p</w:t>
                              </w:r>
                              <w:r>
                                <w:rPr>
                                  <w:b/>
                                  <w:bCs/>
                                </w:rPr>
                                <w:t xml:space="preserve"> Extrapolated Plasma Concentration</w:t>
                              </w:r>
                              <w:r>
                                <w:rPr>
                                  <w:b/>
                                  <w:bCs/>
                                </w:rPr>
                                <w:br/>
                                <w:t> </w:t>
                              </w:r>
                            </w:p>
                          </w:tc>
                          <w:tc>
                            <w:tcPr>
                              <w:tcW w:w="0" w:type="auto"/>
                              <w:shd w:val="clear" w:color="auto" w:fill="FFFFFF"/>
                              <w:hideMark/>
                            </w:tcPr>
                            <w:p w14:paraId="6208353D" w14:textId="77777777" w:rsidR="00556141" w:rsidRDefault="00556141">
                              <w:pPr>
                                <w:rPr>
                                  <w:b/>
                                  <w:bCs/>
                                </w:rPr>
                              </w:pPr>
                              <w:r>
                                <w:rPr>
                                  <w:b/>
                                  <w:bCs/>
                                  <w:i/>
                                  <w:iCs/>
                                </w:rPr>
                                <w:t>C</w:t>
                              </w:r>
                              <w:r>
                                <w:rPr>
                                  <w:b/>
                                  <w:bCs/>
                                </w:rPr>
                                <w:t xml:space="preserve"> </w:t>
                              </w:r>
                              <w:r>
                                <w:rPr>
                                  <w:b/>
                                  <w:bCs/>
                                  <w:vertAlign w:val="subscript"/>
                                </w:rPr>
                                <w:t>p</w:t>
                              </w:r>
                              <w:r>
                                <w:rPr>
                                  <w:b/>
                                  <w:bCs/>
                                </w:rPr>
                                <w:t>–</w:t>
                              </w:r>
                              <w:r>
                                <w:rPr>
                                  <w:b/>
                                  <w:bCs/>
                                  <w:i/>
                                  <w:iCs/>
                                </w:rPr>
                                <w:t>C'</w:t>
                              </w:r>
                              <w:r>
                                <w:rPr>
                                  <w:b/>
                                  <w:bCs/>
                                </w:rPr>
                                <w:t xml:space="preserve"> </w:t>
                              </w:r>
                              <w:r>
                                <w:rPr>
                                  <w:b/>
                                  <w:bCs/>
                                  <w:vertAlign w:val="subscript"/>
                                </w:rPr>
                                <w:t>p</w:t>
                              </w:r>
                              <w:r>
                                <w:rPr>
                                  <w:b/>
                                  <w:bCs/>
                                </w:rPr>
                                <w:t>Residual Plasma Concentration</w:t>
                              </w:r>
                              <w:r>
                                <w:rPr>
                                  <w:b/>
                                  <w:bCs/>
                                </w:rPr>
                                <w:br/>
                                <w:t> </w:t>
                              </w:r>
                            </w:p>
                          </w:tc>
                        </w:tr>
                        <w:tr w:rsidR="00556141" w14:paraId="00F70EE2" w14:textId="77777777">
                          <w:trPr>
                            <w:tblCellSpacing w:w="7" w:type="dxa"/>
                          </w:trPr>
                          <w:tc>
                            <w:tcPr>
                              <w:tcW w:w="0" w:type="auto"/>
                              <w:shd w:val="clear" w:color="auto" w:fill="FFFFFF"/>
                              <w:hideMark/>
                            </w:tcPr>
                            <w:p w14:paraId="49C383FD" w14:textId="77777777" w:rsidR="00556141" w:rsidRDefault="00556141">
                              <w:r>
                                <w:t>0.25</w:t>
                              </w:r>
                            </w:p>
                          </w:tc>
                          <w:tc>
                            <w:tcPr>
                              <w:tcW w:w="0" w:type="auto"/>
                              <w:shd w:val="clear" w:color="auto" w:fill="FFFFFF"/>
                              <w:hideMark/>
                            </w:tcPr>
                            <w:p w14:paraId="6CAB5FD8" w14:textId="77777777" w:rsidR="00556141" w:rsidRDefault="00556141">
                              <w:r>
                                <w:t>43.0</w:t>
                              </w:r>
                            </w:p>
                          </w:tc>
                          <w:tc>
                            <w:tcPr>
                              <w:tcW w:w="0" w:type="auto"/>
                              <w:shd w:val="clear" w:color="auto" w:fill="FFFFFF"/>
                              <w:hideMark/>
                            </w:tcPr>
                            <w:p w14:paraId="0588C0A2" w14:textId="77777777" w:rsidR="00556141" w:rsidRDefault="00556141">
                              <w:r>
                                <w:t>14.5</w:t>
                              </w:r>
                            </w:p>
                          </w:tc>
                          <w:tc>
                            <w:tcPr>
                              <w:tcW w:w="0" w:type="auto"/>
                              <w:shd w:val="clear" w:color="auto" w:fill="FFFFFF"/>
                              <w:hideMark/>
                            </w:tcPr>
                            <w:p w14:paraId="6A52AE56" w14:textId="77777777" w:rsidR="00556141" w:rsidRDefault="00556141">
                              <w:r>
                                <w:t>28.5</w:t>
                              </w:r>
                            </w:p>
                          </w:tc>
                        </w:tr>
                        <w:tr w:rsidR="00556141" w14:paraId="35342FC2" w14:textId="77777777">
                          <w:trPr>
                            <w:tblCellSpacing w:w="7" w:type="dxa"/>
                          </w:trPr>
                          <w:tc>
                            <w:tcPr>
                              <w:tcW w:w="0" w:type="auto"/>
                              <w:shd w:val="clear" w:color="auto" w:fill="FFFFFF"/>
                              <w:hideMark/>
                            </w:tcPr>
                            <w:p w14:paraId="2102AE53" w14:textId="77777777" w:rsidR="00556141" w:rsidRDefault="00556141">
                              <w:r>
                                <w:t>0.5</w:t>
                              </w:r>
                            </w:p>
                          </w:tc>
                          <w:tc>
                            <w:tcPr>
                              <w:tcW w:w="0" w:type="auto"/>
                              <w:shd w:val="clear" w:color="auto" w:fill="FFFFFF"/>
                              <w:hideMark/>
                            </w:tcPr>
                            <w:p w14:paraId="7EE65ECC" w14:textId="77777777" w:rsidR="00556141" w:rsidRDefault="00556141">
                              <w:r>
                                <w:t>32.0</w:t>
                              </w:r>
                            </w:p>
                          </w:tc>
                          <w:tc>
                            <w:tcPr>
                              <w:tcW w:w="0" w:type="auto"/>
                              <w:shd w:val="clear" w:color="auto" w:fill="FFFFFF"/>
                              <w:hideMark/>
                            </w:tcPr>
                            <w:p w14:paraId="66CFA9BC" w14:textId="77777777" w:rsidR="00556141" w:rsidRDefault="00556141">
                              <w:r>
                                <w:t>13.5</w:t>
                              </w:r>
                            </w:p>
                          </w:tc>
                          <w:tc>
                            <w:tcPr>
                              <w:tcW w:w="0" w:type="auto"/>
                              <w:shd w:val="clear" w:color="auto" w:fill="FFFFFF"/>
                              <w:hideMark/>
                            </w:tcPr>
                            <w:p w14:paraId="47AF9000" w14:textId="77777777" w:rsidR="00556141" w:rsidRDefault="00556141">
                              <w:r>
                                <w:t>18.5</w:t>
                              </w:r>
                            </w:p>
                          </w:tc>
                        </w:tr>
                        <w:tr w:rsidR="00556141" w14:paraId="4C113AA8" w14:textId="77777777">
                          <w:trPr>
                            <w:tblCellSpacing w:w="7" w:type="dxa"/>
                          </w:trPr>
                          <w:tc>
                            <w:tcPr>
                              <w:tcW w:w="0" w:type="auto"/>
                              <w:shd w:val="clear" w:color="auto" w:fill="FFFFFF"/>
                              <w:hideMark/>
                            </w:tcPr>
                            <w:p w14:paraId="2E190490" w14:textId="77777777" w:rsidR="00556141" w:rsidRDefault="00556141">
                              <w:r>
                                <w:t>1.0</w:t>
                              </w:r>
                            </w:p>
                          </w:tc>
                          <w:tc>
                            <w:tcPr>
                              <w:tcW w:w="0" w:type="auto"/>
                              <w:shd w:val="clear" w:color="auto" w:fill="FFFFFF"/>
                              <w:hideMark/>
                            </w:tcPr>
                            <w:p w14:paraId="10D0CF0C" w14:textId="77777777" w:rsidR="00556141" w:rsidRDefault="00556141">
                              <w:r>
                                <w:t>20.0</w:t>
                              </w:r>
                            </w:p>
                          </w:tc>
                          <w:tc>
                            <w:tcPr>
                              <w:tcW w:w="0" w:type="auto"/>
                              <w:shd w:val="clear" w:color="auto" w:fill="FFFFFF"/>
                              <w:hideMark/>
                            </w:tcPr>
                            <w:p w14:paraId="35A3C4D2" w14:textId="77777777" w:rsidR="00556141" w:rsidRDefault="00556141">
                              <w:r>
                                <w:t>12.3</w:t>
                              </w:r>
                            </w:p>
                          </w:tc>
                          <w:tc>
                            <w:tcPr>
                              <w:tcW w:w="0" w:type="auto"/>
                              <w:shd w:val="clear" w:color="auto" w:fill="FFFFFF"/>
                              <w:hideMark/>
                            </w:tcPr>
                            <w:p w14:paraId="66C26E60" w14:textId="77777777" w:rsidR="00556141" w:rsidRDefault="00556141">
                              <w:r>
                                <w:t>7.7</w:t>
                              </w:r>
                            </w:p>
                          </w:tc>
                        </w:tr>
                        <w:tr w:rsidR="00556141" w14:paraId="54400081" w14:textId="77777777">
                          <w:trPr>
                            <w:tblCellSpacing w:w="7" w:type="dxa"/>
                          </w:trPr>
                          <w:tc>
                            <w:tcPr>
                              <w:tcW w:w="0" w:type="auto"/>
                              <w:shd w:val="clear" w:color="auto" w:fill="FFFFFF"/>
                              <w:hideMark/>
                            </w:tcPr>
                            <w:p w14:paraId="4C041A71" w14:textId="77777777" w:rsidR="00556141" w:rsidRDefault="00556141">
                              <w:r>
                                <w:t>1.5</w:t>
                              </w:r>
                            </w:p>
                          </w:tc>
                          <w:tc>
                            <w:tcPr>
                              <w:tcW w:w="0" w:type="auto"/>
                              <w:shd w:val="clear" w:color="auto" w:fill="FFFFFF"/>
                              <w:hideMark/>
                            </w:tcPr>
                            <w:p w14:paraId="547751F7" w14:textId="77777777" w:rsidR="00556141" w:rsidRDefault="00556141">
                              <w:r>
                                <w:t>14.0</w:t>
                              </w:r>
                            </w:p>
                          </w:tc>
                          <w:tc>
                            <w:tcPr>
                              <w:tcW w:w="0" w:type="auto"/>
                              <w:shd w:val="clear" w:color="auto" w:fill="FFFFFF"/>
                              <w:hideMark/>
                            </w:tcPr>
                            <w:p w14:paraId="009066AC" w14:textId="77777777" w:rsidR="00556141" w:rsidRDefault="00556141">
                              <w:r>
                                <w:t>11.0</w:t>
                              </w:r>
                            </w:p>
                          </w:tc>
                          <w:tc>
                            <w:tcPr>
                              <w:tcW w:w="0" w:type="auto"/>
                              <w:shd w:val="clear" w:color="auto" w:fill="FFFFFF"/>
                              <w:hideMark/>
                            </w:tcPr>
                            <w:p w14:paraId="3EBF8437" w14:textId="77777777" w:rsidR="00556141" w:rsidRDefault="00556141">
                              <w:r>
                                <w:t>3.0</w:t>
                              </w:r>
                            </w:p>
                          </w:tc>
                        </w:tr>
                        <w:tr w:rsidR="00556141" w14:paraId="01E05F02" w14:textId="77777777">
                          <w:trPr>
                            <w:tblCellSpacing w:w="7" w:type="dxa"/>
                          </w:trPr>
                          <w:tc>
                            <w:tcPr>
                              <w:tcW w:w="0" w:type="auto"/>
                              <w:shd w:val="clear" w:color="auto" w:fill="FFFFFF"/>
                              <w:hideMark/>
                            </w:tcPr>
                            <w:p w14:paraId="366047F4" w14:textId="77777777" w:rsidR="00556141" w:rsidRDefault="00556141">
                              <w:r>
                                <w:t>2.0</w:t>
                              </w:r>
                            </w:p>
                          </w:tc>
                          <w:tc>
                            <w:tcPr>
                              <w:tcW w:w="0" w:type="auto"/>
                              <w:shd w:val="clear" w:color="auto" w:fill="FFFFFF"/>
                              <w:hideMark/>
                            </w:tcPr>
                            <w:p w14:paraId="26B5357B" w14:textId="77777777" w:rsidR="00556141" w:rsidRDefault="00556141">
                              <w:r>
                                <w:t>11.0</w:t>
                              </w:r>
                            </w:p>
                          </w:tc>
                          <w:tc>
                            <w:tcPr>
                              <w:tcW w:w="0" w:type="auto"/>
                              <w:shd w:val="clear" w:color="auto" w:fill="FFFFFF"/>
                              <w:hideMark/>
                            </w:tcPr>
                            <w:p w14:paraId="10D1815C" w14:textId="77777777" w:rsidR="00556141" w:rsidRDefault="00556141">
                              <w:r>
                                <w:t>10.0</w:t>
                              </w:r>
                            </w:p>
                          </w:tc>
                          <w:tc>
                            <w:tcPr>
                              <w:tcW w:w="0" w:type="auto"/>
                              <w:shd w:val="clear" w:color="auto" w:fill="FFFFFF"/>
                              <w:hideMark/>
                            </w:tcPr>
                            <w:p w14:paraId="505C5973" w14:textId="77777777" w:rsidR="00556141" w:rsidRDefault="00556141">
                              <w:r>
                                <w:t>1.0</w:t>
                              </w:r>
                            </w:p>
                          </w:tc>
                        </w:tr>
                        <w:tr w:rsidR="00556141" w14:paraId="66552B49" w14:textId="77777777">
                          <w:trPr>
                            <w:tblCellSpacing w:w="7" w:type="dxa"/>
                          </w:trPr>
                          <w:tc>
                            <w:tcPr>
                              <w:tcW w:w="0" w:type="auto"/>
                              <w:shd w:val="clear" w:color="auto" w:fill="FFFFFF"/>
                              <w:hideMark/>
                            </w:tcPr>
                            <w:p w14:paraId="17A9751E" w14:textId="77777777" w:rsidR="00556141" w:rsidRDefault="00556141">
                              <w:r>
                                <w:t>4.0</w:t>
                              </w:r>
                            </w:p>
                          </w:tc>
                          <w:tc>
                            <w:tcPr>
                              <w:tcW w:w="0" w:type="auto"/>
                              <w:shd w:val="clear" w:color="auto" w:fill="FFFFFF"/>
                              <w:hideMark/>
                            </w:tcPr>
                            <w:p w14:paraId="5AFECBE0" w14:textId="77777777" w:rsidR="00556141" w:rsidRDefault="00556141">
                              <w:r>
                                <w:t>6.5</w:t>
                              </w:r>
                            </w:p>
                          </w:tc>
                          <w:tc>
                            <w:tcPr>
                              <w:tcW w:w="0" w:type="auto"/>
                              <w:shd w:val="clear" w:color="auto" w:fill="FFFFFF"/>
                              <w:hideMark/>
                            </w:tcPr>
                            <w:p w14:paraId="7BE04842" w14:textId="77777777" w:rsidR="00556141" w:rsidRDefault="00556141">
                              <w:r>
                                <w:t> </w:t>
                              </w:r>
                            </w:p>
                          </w:tc>
                          <w:tc>
                            <w:tcPr>
                              <w:tcW w:w="0" w:type="auto"/>
                              <w:shd w:val="clear" w:color="auto" w:fill="FFFFFF"/>
                              <w:hideMark/>
                            </w:tcPr>
                            <w:p w14:paraId="6640FDCA" w14:textId="77777777" w:rsidR="00556141" w:rsidRDefault="00556141">
                              <w:r>
                                <w:t> </w:t>
                              </w:r>
                            </w:p>
                          </w:tc>
                        </w:tr>
                        <w:tr w:rsidR="00556141" w14:paraId="651527E1" w14:textId="77777777">
                          <w:trPr>
                            <w:tblCellSpacing w:w="7" w:type="dxa"/>
                          </w:trPr>
                          <w:tc>
                            <w:tcPr>
                              <w:tcW w:w="0" w:type="auto"/>
                              <w:shd w:val="clear" w:color="auto" w:fill="FFFFFF"/>
                              <w:hideMark/>
                            </w:tcPr>
                            <w:p w14:paraId="6C6A87DA" w14:textId="77777777" w:rsidR="00556141" w:rsidRDefault="00556141">
                              <w:r>
                                <w:t>8.0</w:t>
                              </w:r>
                            </w:p>
                          </w:tc>
                          <w:tc>
                            <w:tcPr>
                              <w:tcW w:w="0" w:type="auto"/>
                              <w:shd w:val="clear" w:color="auto" w:fill="FFFFFF"/>
                              <w:hideMark/>
                            </w:tcPr>
                            <w:p w14:paraId="4DEAAB75" w14:textId="77777777" w:rsidR="00556141" w:rsidRDefault="00556141">
                              <w:r>
                                <w:t>2.8</w:t>
                              </w:r>
                            </w:p>
                          </w:tc>
                          <w:tc>
                            <w:tcPr>
                              <w:tcW w:w="0" w:type="auto"/>
                              <w:shd w:val="clear" w:color="auto" w:fill="FFFFFF"/>
                              <w:hideMark/>
                            </w:tcPr>
                            <w:p w14:paraId="3EC08BAF" w14:textId="77777777" w:rsidR="00556141" w:rsidRDefault="00556141">
                              <w:r>
                                <w:t> </w:t>
                              </w:r>
                            </w:p>
                          </w:tc>
                          <w:tc>
                            <w:tcPr>
                              <w:tcW w:w="0" w:type="auto"/>
                              <w:shd w:val="clear" w:color="auto" w:fill="FFFFFF"/>
                              <w:hideMark/>
                            </w:tcPr>
                            <w:p w14:paraId="7BBB8CCA" w14:textId="77777777" w:rsidR="00556141" w:rsidRDefault="00556141">
                              <w:r>
                                <w:t> </w:t>
                              </w:r>
                            </w:p>
                          </w:tc>
                        </w:tr>
                        <w:tr w:rsidR="00556141" w14:paraId="0548B40A" w14:textId="77777777">
                          <w:trPr>
                            <w:tblCellSpacing w:w="7" w:type="dxa"/>
                          </w:trPr>
                          <w:tc>
                            <w:tcPr>
                              <w:tcW w:w="0" w:type="auto"/>
                              <w:shd w:val="clear" w:color="auto" w:fill="FFFFFF"/>
                              <w:hideMark/>
                            </w:tcPr>
                            <w:p w14:paraId="77A7BE5F" w14:textId="77777777" w:rsidR="00556141" w:rsidRDefault="00556141">
                              <w:r>
                                <w:t>12.0</w:t>
                              </w:r>
                            </w:p>
                          </w:tc>
                          <w:tc>
                            <w:tcPr>
                              <w:tcW w:w="0" w:type="auto"/>
                              <w:shd w:val="clear" w:color="auto" w:fill="FFFFFF"/>
                              <w:hideMark/>
                            </w:tcPr>
                            <w:p w14:paraId="793F4855" w14:textId="77777777" w:rsidR="00556141" w:rsidRDefault="00556141">
                              <w:r>
                                <w:t>1.2</w:t>
                              </w:r>
                            </w:p>
                          </w:tc>
                          <w:tc>
                            <w:tcPr>
                              <w:tcW w:w="0" w:type="auto"/>
                              <w:shd w:val="clear" w:color="auto" w:fill="FFFFFF"/>
                              <w:hideMark/>
                            </w:tcPr>
                            <w:p w14:paraId="0BC6CE9B" w14:textId="77777777" w:rsidR="00556141" w:rsidRDefault="00556141">
                              <w:r>
                                <w:t> </w:t>
                              </w:r>
                            </w:p>
                          </w:tc>
                          <w:tc>
                            <w:tcPr>
                              <w:tcW w:w="0" w:type="auto"/>
                              <w:shd w:val="clear" w:color="auto" w:fill="FFFFFF"/>
                              <w:hideMark/>
                            </w:tcPr>
                            <w:p w14:paraId="64F0CF2C" w14:textId="77777777" w:rsidR="00556141" w:rsidRDefault="00556141">
                              <w:r>
                                <w:t> </w:t>
                              </w:r>
                            </w:p>
                          </w:tc>
                        </w:tr>
                        <w:tr w:rsidR="00556141" w14:paraId="1E288E5B" w14:textId="77777777">
                          <w:trPr>
                            <w:tblCellSpacing w:w="7" w:type="dxa"/>
                          </w:trPr>
                          <w:tc>
                            <w:tcPr>
                              <w:tcW w:w="0" w:type="auto"/>
                              <w:shd w:val="clear" w:color="auto" w:fill="FFFFFF"/>
                              <w:hideMark/>
                            </w:tcPr>
                            <w:p w14:paraId="512F8A12" w14:textId="77777777" w:rsidR="00556141" w:rsidRDefault="00556141">
                              <w:r>
                                <w:t>16.0</w:t>
                              </w:r>
                            </w:p>
                          </w:tc>
                          <w:tc>
                            <w:tcPr>
                              <w:tcW w:w="0" w:type="auto"/>
                              <w:shd w:val="clear" w:color="auto" w:fill="FFFFFF"/>
                              <w:hideMark/>
                            </w:tcPr>
                            <w:p w14:paraId="27D0B559" w14:textId="77777777" w:rsidR="00556141" w:rsidRDefault="00556141">
                              <w:r>
                                <w:t>0.52</w:t>
                              </w:r>
                            </w:p>
                          </w:tc>
                          <w:tc>
                            <w:tcPr>
                              <w:tcW w:w="0" w:type="auto"/>
                              <w:shd w:val="clear" w:color="auto" w:fill="FFFFFF"/>
                              <w:hideMark/>
                            </w:tcPr>
                            <w:p w14:paraId="0CC9E4E3" w14:textId="77777777" w:rsidR="00556141" w:rsidRDefault="00556141">
                              <w:r>
                                <w:t> </w:t>
                              </w:r>
                            </w:p>
                          </w:tc>
                          <w:tc>
                            <w:tcPr>
                              <w:tcW w:w="0" w:type="auto"/>
                              <w:shd w:val="clear" w:color="auto" w:fill="FFFFFF"/>
                              <w:hideMark/>
                            </w:tcPr>
                            <w:p w14:paraId="385E8BDE" w14:textId="77777777" w:rsidR="00556141" w:rsidRDefault="00556141">
                              <w:r>
                                <w:t> </w:t>
                              </w:r>
                            </w:p>
                          </w:tc>
                        </w:tr>
                      </w:tbl>
                      <w:p w14:paraId="14E9F035" w14:textId="77777777" w:rsidR="00556141" w:rsidRDefault="00556141"/>
                    </w:tc>
                  </w:tr>
                  <w:tr w:rsidR="00556141" w14:paraId="02103C5E" w14:textId="77777777">
                    <w:trPr>
                      <w:tblCellSpacing w:w="0" w:type="dxa"/>
                    </w:trPr>
                    <w:tc>
                      <w:tcPr>
                        <w:tcW w:w="0" w:type="auto"/>
                        <w:shd w:val="clear" w:color="auto" w:fill="FFFFFF"/>
                        <w:vAlign w:val="center"/>
                        <w:hideMark/>
                      </w:tcPr>
                      <w:p w14:paraId="37D1AE15" w14:textId="77777777" w:rsidR="00556141" w:rsidRDefault="00556141">
                        <w:pPr>
                          <w:rPr>
                            <w:sz w:val="24"/>
                            <w:szCs w:val="24"/>
                          </w:rPr>
                        </w:pPr>
                      </w:p>
                    </w:tc>
                  </w:tr>
                </w:tbl>
                <w:p w14:paraId="43E8825E" w14:textId="40EB497D" w:rsidR="00556141" w:rsidRDefault="00556141">
                  <w:pPr>
                    <w:pStyle w:val="contentbody"/>
                  </w:pPr>
                  <w:bookmarkStart w:id="63" w:name="2486092"/>
                  <w:bookmarkEnd w:id="63"/>
                  <w:r>
                    <w:t>The new line obtained by graphing the logarithm of the residual plasma concentration (</w:t>
                  </w:r>
                  <w:r>
                    <w:rPr>
                      <w:i/>
                      <w:iCs/>
                    </w:rPr>
                    <w:t>C</w:t>
                  </w:r>
                  <w:r>
                    <w:t xml:space="preserve"> </w:t>
                  </w:r>
                  <w:r>
                    <w:rPr>
                      <w:vertAlign w:val="subscript"/>
                    </w:rPr>
                    <w:t>p</w:t>
                  </w:r>
                  <w:r>
                    <w:t xml:space="preserve"> – </w:t>
                  </w:r>
                  <w:r>
                    <w:rPr>
                      <w:i/>
                      <w:iCs/>
                    </w:rPr>
                    <w:t>C'</w:t>
                  </w:r>
                  <w:r>
                    <w:t xml:space="preserve"> </w:t>
                  </w:r>
                  <w:r>
                    <w:rPr>
                      <w:vertAlign w:val="subscript"/>
                    </w:rPr>
                    <w:t>p</w:t>
                  </w:r>
                  <w:r>
                    <w:t xml:space="preserve">) against time represents the </w:t>
                  </w:r>
                  <w:r>
                    <w:rPr>
                      <w:i/>
                      <w:iCs/>
                    </w:rPr>
                    <w:t>a</w:t>
                  </w:r>
                  <w:r>
                    <w:t xml:space="preserve"> phase. The value for </w:t>
                  </w:r>
                  <w:r>
                    <w:rPr>
                      <w:i/>
                      <w:iCs/>
                    </w:rPr>
                    <w:t>a</w:t>
                  </w:r>
                  <w:r>
                    <w:t xml:space="preserve"> is 1.8 hr</w:t>
                  </w:r>
                  <w:r>
                    <w:rPr>
                      <w:vertAlign w:val="superscript"/>
                    </w:rPr>
                    <w:t>–</w:t>
                  </w:r>
                  <w:r>
                    <w:t xml:space="preserve"> </w:t>
                  </w:r>
                  <w:r>
                    <w:rPr>
                      <w:vertAlign w:val="superscript"/>
                    </w:rPr>
                    <w:t>1</w:t>
                  </w:r>
                  <w:r>
                    <w:t xml:space="preserve">, and the </w:t>
                  </w:r>
                  <w:r>
                    <w:rPr>
                      <w:i/>
                      <w:iCs/>
                    </w:rPr>
                    <w:t>y</w:t>
                  </w:r>
                  <w:r>
                    <w:t xml:space="preserve"> intercept is 45 </w:t>
                  </w:r>
                  <w:r>
                    <w:rPr>
                      <w:noProof/>
                    </w:rPr>
                    <mc:AlternateContent>
                      <mc:Choice Requires="wps">
                        <w:drawing>
                          <wp:inline distT="0" distB="0" distL="0" distR="0" wp14:anchorId="62FED2A9" wp14:editId="27CB64EB">
                            <wp:extent cx="304800" cy="304800"/>
                            <wp:effectExtent l="0" t="0" r="0" b="0"/>
                            <wp:docPr id="2144308078"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165B5"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g/mL. The elimination </w:t>
                  </w:r>
                  <w:r>
                    <w:rPr>
                      <w:i/>
                      <w:iCs/>
                    </w:rPr>
                    <w:t>t</w:t>
                  </w:r>
                  <w:r>
                    <w:t xml:space="preserve"> </w:t>
                  </w:r>
                  <w:r>
                    <w:rPr>
                      <w:vertAlign w:val="subscript"/>
                    </w:rPr>
                    <w:t xml:space="preserve">1/2b </w:t>
                  </w:r>
                  <w:r>
                    <w:t xml:space="preserve">is computed from </w:t>
                  </w:r>
                  <w:r>
                    <w:rPr>
                      <w:i/>
                      <w:iCs/>
                    </w:rPr>
                    <w:t>b</w:t>
                  </w:r>
                  <w:r>
                    <w:t xml:space="preserve"> by use of Equation 4.17 and has the value of 3.3 hr.</w:t>
                  </w:r>
                </w:p>
                <w:p w14:paraId="49DE2E09" w14:textId="77777777" w:rsidR="00556141" w:rsidRDefault="00556141">
                  <w:pPr>
                    <w:pStyle w:val="contentbody"/>
                  </w:pPr>
                  <w:bookmarkStart w:id="64" w:name="2486093"/>
                  <w:bookmarkEnd w:id="64"/>
                  <w:r>
                    <w:t xml:space="preserve">A number of pharmacokinetic parameters may be derived by proper substitution of rate constants </w:t>
                  </w:r>
                  <w:r>
                    <w:rPr>
                      <w:i/>
                      <w:iCs/>
                    </w:rPr>
                    <w:t>a</w:t>
                  </w:r>
                  <w:r>
                    <w:t xml:space="preserve"> and </w:t>
                  </w:r>
                  <w:r>
                    <w:rPr>
                      <w:i/>
                      <w:iCs/>
                    </w:rPr>
                    <w:t>b</w:t>
                  </w:r>
                  <w:r>
                    <w:t xml:space="preserve"> and </w:t>
                  </w:r>
                  <w:r>
                    <w:rPr>
                      <w:i/>
                      <w:iCs/>
                    </w:rPr>
                    <w:t>y</w:t>
                  </w:r>
                  <w:r>
                    <w:t xml:space="preserve"> intercepts </w:t>
                  </w:r>
                  <w:r>
                    <w:rPr>
                      <w:i/>
                      <w:iCs/>
                    </w:rPr>
                    <w:t>A</w:t>
                  </w:r>
                  <w:r>
                    <w:t xml:space="preserve"> and </w:t>
                  </w:r>
                  <w:r>
                    <w:rPr>
                      <w:i/>
                      <w:iCs/>
                    </w:rPr>
                    <w:t>B</w:t>
                  </w:r>
                  <w:r>
                    <w:t xml:space="preserve"> into the following equations:</w:t>
                  </w:r>
                </w:p>
                <w:p w14:paraId="6B98F099" w14:textId="77A13FA1" w:rsidR="00556141" w:rsidRDefault="00556141">
                  <w:pPr>
                    <w:pStyle w:val="contentbody"/>
                  </w:pPr>
                  <w:bookmarkStart w:id="65" w:name="2486308"/>
                  <w:bookmarkStart w:id="66" w:name="2486094"/>
                  <w:bookmarkEnd w:id="65"/>
                  <w:bookmarkEnd w:id="66"/>
                  <w:r>
                    <w:rPr>
                      <w:noProof/>
                    </w:rPr>
                    <mc:AlternateContent>
                      <mc:Choice Requires="wps">
                        <w:drawing>
                          <wp:inline distT="0" distB="0" distL="0" distR="0" wp14:anchorId="64E47B34" wp14:editId="46459CE8">
                            <wp:extent cx="304800" cy="304800"/>
                            <wp:effectExtent l="0" t="0" r="0" b="0"/>
                            <wp:docPr id="1745511374"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3E36C"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531BE9" w14:textId="77777777" w:rsidR="00556141" w:rsidRDefault="00556141">
                  <w:pPr>
                    <w:pStyle w:val="contenthead2"/>
                  </w:pPr>
                  <w:bookmarkStart w:id="67" w:name="2486097"/>
                  <w:bookmarkEnd w:id="67"/>
                  <w:r>
                    <w:t>Simulation of Plasma and Tissue Level of a Two-Compartment Model Drug—Digoxin in a Normal Patient and in a Renal-Failure Patient</w:t>
                  </w:r>
                </w:p>
                <w:p w14:paraId="40629D13" w14:textId="33EECA50" w:rsidR="00556141" w:rsidRDefault="00556141">
                  <w:pPr>
                    <w:pStyle w:val="contentbody"/>
                  </w:pPr>
                  <w:bookmarkStart w:id="68" w:name="2486098"/>
                  <w:bookmarkEnd w:id="68"/>
                  <w:r>
                    <w:t>Once the pharmacokinetic parameters are determined for an individual, the amount of drug remaining in the plasma and tissue compartment may be calculated using Equations 4.8 and 4.9. The pharmacokinetic data for digoxin was calculated in a normal and in a renal-impaired, 70-kg subject using the parameters in as reported in the literature. The amount of digoxin remaining in the plasma and tissue compartment are tabulated in and plotted in . It can be seen that digoxin stored in the plasma declines rapidly during the initial distributive phase, while drug amount in the tissue compartment take 3–4 hours (5</w:t>
                  </w:r>
                  <w:r>
                    <w:rPr>
                      <w:i/>
                      <w:iCs/>
                    </w:rPr>
                    <w:t>t</w:t>
                  </w:r>
                  <w:r>
                    <w:t xml:space="preserve"> </w:t>
                  </w:r>
                  <w:r>
                    <w:rPr>
                      <w:vertAlign w:val="subscript"/>
                    </w:rPr>
                    <w:t>1/2</w:t>
                  </w:r>
                  <w:r>
                    <w:t xml:space="preserve"> = 5 </w:t>
                  </w:r>
                  <w:r>
                    <w:rPr>
                      <w:sz w:val="20"/>
                      <w:szCs w:val="20"/>
                    </w:rPr>
                    <w:t>x</w:t>
                  </w:r>
                  <w:r>
                    <w:t xml:space="preserve"> 35 min) to accumulate. It is interesting that clinicians have recommended that digoxin plasma samples be taken at least several hours after IV bolus dosing (), since the equilibrated level is more representative of myocardium digoxin level. In the simulation below, the amount of the drug in the plasma compartment at any time divided by </w:t>
                  </w:r>
                  <w:r>
                    <w:rPr>
                      <w:i/>
                      <w:iCs/>
                    </w:rPr>
                    <w:t>V</w:t>
                  </w:r>
                  <w:r>
                    <w:t xml:space="preserve"> </w:t>
                  </w:r>
                  <w:r>
                    <w:rPr>
                      <w:vertAlign w:val="subscript"/>
                    </w:rPr>
                    <w:t>p</w:t>
                  </w:r>
                  <w:r>
                    <w:t xml:space="preserve"> (54.6 L for the normal subject) will yield the plasma digoxin level. At 4 hours after an IV dose of 0.25 mg, </w:t>
                  </w:r>
                  <w:r>
                    <w:rPr>
                      <w:i/>
                      <w:iCs/>
                    </w:rPr>
                    <w:t>C</w:t>
                  </w:r>
                  <w:r>
                    <w:t xml:space="preserve"> </w:t>
                  </w:r>
                  <w:r>
                    <w:rPr>
                      <w:vertAlign w:val="subscript"/>
                    </w:rPr>
                    <w:t>p</w:t>
                  </w:r>
                  <w:r>
                    <w:t xml:space="preserve"> = </w:t>
                  </w:r>
                  <w:r>
                    <w:rPr>
                      <w:i/>
                      <w:iCs/>
                    </w:rPr>
                    <w:t>D</w:t>
                  </w:r>
                  <w:r>
                    <w:t xml:space="preserve"> </w:t>
                  </w:r>
                  <w:r>
                    <w:rPr>
                      <w:vertAlign w:val="subscript"/>
                    </w:rPr>
                    <w:t>p</w:t>
                  </w:r>
                  <w:r>
                    <w:t>/</w:t>
                  </w:r>
                  <w:r>
                    <w:rPr>
                      <w:i/>
                      <w:iCs/>
                    </w:rPr>
                    <w:t>V</w:t>
                  </w:r>
                  <w:r>
                    <w:t xml:space="preserve"> </w:t>
                  </w:r>
                  <w:r>
                    <w:rPr>
                      <w:vertAlign w:val="subscript"/>
                    </w:rPr>
                    <w:t>p</w:t>
                  </w:r>
                  <w:r>
                    <w:t xml:space="preserve"> = 24.43 </w:t>
                  </w:r>
                  <w:r>
                    <w:rPr>
                      <w:noProof/>
                    </w:rPr>
                    <mc:AlternateContent>
                      <mc:Choice Requires="wps">
                        <w:drawing>
                          <wp:inline distT="0" distB="0" distL="0" distR="0" wp14:anchorId="2C57639E" wp14:editId="6F30886E">
                            <wp:extent cx="304800" cy="304800"/>
                            <wp:effectExtent l="0" t="0" r="0" b="0"/>
                            <wp:docPr id="941395497"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E88F5"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g/54.6 L = 0.45 ng/mL, corresponding to 3 </w:t>
                  </w:r>
                  <w:r>
                    <w:rPr>
                      <w:sz w:val="20"/>
                      <w:szCs w:val="20"/>
                    </w:rPr>
                    <w:t>x</w:t>
                  </w:r>
                  <w:r>
                    <w:t xml:space="preserve"> 0.45 ng/mL = 1.35 ng/mL if a full loading dose of 0.75 mg is given in a single dose. Although the initial plasma drug levels were much higher than after equilibration, the digoxin plasma concentrations are generally regarded as not toxic, since drug distribution is occurring rapidly. The tissue drug levels were not calculated. The tissue drug concentration represents the hypothetical tissue pool, which may not represent actual drug concentrations in the myocardium. In contrast, the amount of drug remaining in the tissue pool is real, since the amount of drug is calculated using mass balance. The rate of drug entry into the tissue in micrograms per hour at any time is </w:t>
                  </w:r>
                  <w:r>
                    <w:rPr>
                      <w:i/>
                      <w:iCs/>
                    </w:rPr>
                    <w:t>k</w:t>
                  </w:r>
                  <w:r>
                    <w:t xml:space="preserve"> </w:t>
                  </w:r>
                  <w:r>
                    <w:rPr>
                      <w:vertAlign w:val="subscript"/>
                    </w:rPr>
                    <w:t>12</w:t>
                  </w:r>
                  <w:r>
                    <w:rPr>
                      <w:i/>
                      <w:iCs/>
                    </w:rPr>
                    <w:t>D</w:t>
                  </w:r>
                  <w:r>
                    <w:t xml:space="preserve"> </w:t>
                  </w:r>
                  <w:r>
                    <w:rPr>
                      <w:vertAlign w:val="subscript"/>
                    </w:rPr>
                    <w:t>p</w:t>
                  </w:r>
                  <w:r>
                    <w:t xml:space="preserve">, while the rate of drug leaving the tissue is </w:t>
                  </w:r>
                  <w:r>
                    <w:rPr>
                      <w:i/>
                      <w:iCs/>
                    </w:rPr>
                    <w:t>k</w:t>
                  </w:r>
                  <w:r>
                    <w:t xml:space="preserve"> </w:t>
                  </w:r>
                  <w:r>
                    <w:rPr>
                      <w:vertAlign w:val="subscript"/>
                    </w:rPr>
                    <w:t>21</w:t>
                  </w:r>
                  <w:r>
                    <w:rPr>
                      <w:i/>
                      <w:iCs/>
                    </w:rPr>
                    <w:t>D</w:t>
                  </w:r>
                  <w:r>
                    <w:t xml:space="preserve"> </w:t>
                  </w:r>
                  <w:r>
                    <w:rPr>
                      <w:vertAlign w:val="subscript"/>
                    </w:rPr>
                    <w:t>t</w:t>
                  </w:r>
                  <w:r>
                    <w:t xml:space="preserve"> in the same units. Both of these rates may be calculated from using </w:t>
                  </w:r>
                  <w:r>
                    <w:rPr>
                      <w:i/>
                      <w:iCs/>
                    </w:rPr>
                    <w:t>k</w:t>
                  </w:r>
                  <w:r>
                    <w:t xml:space="preserve"> </w:t>
                  </w:r>
                  <w:r>
                    <w:rPr>
                      <w:vertAlign w:val="subscript"/>
                    </w:rPr>
                    <w:t>12</w:t>
                  </w:r>
                  <w:r>
                    <w:t xml:space="preserve"> and </w:t>
                  </w:r>
                  <w:r>
                    <w:rPr>
                      <w:i/>
                      <w:iCs/>
                    </w:rPr>
                    <w:t>k</w:t>
                  </w:r>
                  <w:r>
                    <w:t xml:space="preserve"> </w:t>
                  </w:r>
                  <w:r>
                    <w:rPr>
                      <w:vertAlign w:val="subscript"/>
                    </w:rPr>
                    <w:t>21</w:t>
                  </w:r>
                  <w:r>
                    <w:t xml:space="preserve"> values listed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19"/>
                  </w:tblGrid>
                  <w:tr w:rsidR="00556141" w14:paraId="4A5702D3"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489"/>
                        </w:tblGrid>
                        <w:tr w:rsidR="00556141" w14:paraId="20AF16FA" w14:textId="77777777">
                          <w:trPr>
                            <w:tblCellSpacing w:w="0" w:type="dxa"/>
                          </w:trPr>
                          <w:tc>
                            <w:tcPr>
                              <w:tcW w:w="0" w:type="auto"/>
                              <w:vAlign w:val="center"/>
                              <w:hideMark/>
                            </w:tcPr>
                            <w:p w14:paraId="2230BD2B" w14:textId="77777777" w:rsidR="00556141" w:rsidRDefault="00556141">
                              <w:pPr>
                                <w:pStyle w:val="tabletitle"/>
                              </w:pPr>
                              <w:bookmarkStart w:id="69" w:name="2486262"/>
                              <w:bookmarkEnd w:id="69"/>
                              <w:r>
                                <w:t>Table 4.4 Two-Compartment Model Pharmacokinetic Parameters of Digoxin</w:t>
                              </w:r>
                            </w:p>
                            <w:p w14:paraId="42D5D73D" w14:textId="77777777" w:rsidR="00556141" w:rsidRDefault="00556141"/>
                          </w:tc>
                        </w:tr>
                      </w:tbl>
                      <w:p w14:paraId="78114A29" w14:textId="77777777" w:rsidR="00556141" w:rsidRDefault="00556141"/>
                    </w:tc>
                  </w:tr>
                  <w:tr w:rsidR="00556141" w14:paraId="6F16FCDB"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853"/>
                          <w:gridCol w:w="1628"/>
                          <w:gridCol w:w="1375"/>
                          <w:gridCol w:w="2663"/>
                        </w:tblGrid>
                        <w:tr w:rsidR="00556141" w14:paraId="339EAC39" w14:textId="77777777">
                          <w:trPr>
                            <w:tblHeader/>
                            <w:tblCellSpacing w:w="7" w:type="dxa"/>
                          </w:trPr>
                          <w:tc>
                            <w:tcPr>
                              <w:tcW w:w="0" w:type="auto"/>
                              <w:shd w:val="clear" w:color="auto" w:fill="FFFFFF"/>
                              <w:hideMark/>
                            </w:tcPr>
                            <w:p w14:paraId="07144347" w14:textId="77777777" w:rsidR="00556141" w:rsidRDefault="00556141">
                              <w:pPr>
                                <w:rPr>
                                  <w:b/>
                                  <w:bCs/>
                                  <w:sz w:val="24"/>
                                  <w:szCs w:val="24"/>
                                </w:rPr>
                              </w:pPr>
                              <w:r>
                                <w:rPr>
                                  <w:b/>
                                  <w:bCs/>
                                </w:rPr>
                                <w:t>Parameter</w:t>
                              </w:r>
                            </w:p>
                          </w:tc>
                          <w:tc>
                            <w:tcPr>
                              <w:tcW w:w="0" w:type="auto"/>
                              <w:shd w:val="clear" w:color="auto" w:fill="FFFFFF"/>
                              <w:hideMark/>
                            </w:tcPr>
                            <w:p w14:paraId="2F65C07A" w14:textId="77777777" w:rsidR="00556141" w:rsidRDefault="00556141">
                              <w:pPr>
                                <w:rPr>
                                  <w:b/>
                                  <w:bCs/>
                                </w:rPr>
                              </w:pPr>
                              <w:r>
                                <w:rPr>
                                  <w:b/>
                                  <w:bCs/>
                                </w:rPr>
                                <w:t>Unit</w:t>
                              </w:r>
                            </w:p>
                          </w:tc>
                          <w:tc>
                            <w:tcPr>
                              <w:tcW w:w="0" w:type="auto"/>
                              <w:shd w:val="clear" w:color="auto" w:fill="FFFFFF"/>
                              <w:hideMark/>
                            </w:tcPr>
                            <w:p w14:paraId="6D95DF4F" w14:textId="77777777" w:rsidR="00556141" w:rsidRDefault="00556141">
                              <w:pPr>
                                <w:rPr>
                                  <w:b/>
                                  <w:bCs/>
                                </w:rPr>
                              </w:pPr>
                              <w:r>
                                <w:rPr>
                                  <w:b/>
                                  <w:bCs/>
                                </w:rPr>
                                <w:t>Normal</w:t>
                              </w:r>
                            </w:p>
                          </w:tc>
                          <w:tc>
                            <w:tcPr>
                              <w:tcW w:w="0" w:type="auto"/>
                              <w:shd w:val="clear" w:color="auto" w:fill="FFFFFF"/>
                              <w:hideMark/>
                            </w:tcPr>
                            <w:p w14:paraId="29A4D57C" w14:textId="77777777" w:rsidR="00556141" w:rsidRDefault="00556141">
                              <w:pPr>
                                <w:rPr>
                                  <w:b/>
                                  <w:bCs/>
                                </w:rPr>
                              </w:pPr>
                              <w:r>
                                <w:rPr>
                                  <w:b/>
                                  <w:bCs/>
                                </w:rPr>
                                <w:t>Renal Impaired</w:t>
                              </w:r>
                            </w:p>
                          </w:tc>
                        </w:tr>
                        <w:tr w:rsidR="00556141" w14:paraId="1932B6B2" w14:textId="77777777">
                          <w:trPr>
                            <w:tblCellSpacing w:w="7" w:type="dxa"/>
                          </w:trPr>
                          <w:tc>
                            <w:tcPr>
                              <w:tcW w:w="0" w:type="auto"/>
                              <w:shd w:val="clear" w:color="auto" w:fill="FFFFFF"/>
                              <w:hideMark/>
                            </w:tcPr>
                            <w:p w14:paraId="6941C6B2" w14:textId="77777777" w:rsidR="00556141" w:rsidRDefault="00556141">
                              <w:r>
                                <w:rPr>
                                  <w:i/>
                                  <w:iCs/>
                                </w:rPr>
                                <w:lastRenderedPageBreak/>
                                <w:t>k</w:t>
                              </w:r>
                              <w:r>
                                <w:t xml:space="preserve"> </w:t>
                              </w:r>
                              <w:r>
                                <w:rPr>
                                  <w:vertAlign w:val="subscript"/>
                                </w:rPr>
                                <w:t>12</w:t>
                              </w:r>
                              <w:r>
                                <w:t xml:space="preserve"> </w:t>
                              </w:r>
                              <w:r>
                                <w:br/>
                                <w:t> </w:t>
                              </w:r>
                            </w:p>
                          </w:tc>
                          <w:tc>
                            <w:tcPr>
                              <w:tcW w:w="0" w:type="auto"/>
                              <w:shd w:val="clear" w:color="auto" w:fill="FFFFFF"/>
                              <w:hideMark/>
                            </w:tcPr>
                            <w:p w14:paraId="1B707927" w14:textId="77777777" w:rsidR="00556141" w:rsidRDefault="00556141">
                              <w:r>
                                <w:t>hr</w:t>
                              </w:r>
                              <w:r>
                                <w:rPr>
                                  <w:vertAlign w:val="superscript"/>
                                </w:rPr>
                                <w:t>–</w:t>
                              </w:r>
                              <w:r>
                                <w:t xml:space="preserve"> </w:t>
                              </w:r>
                              <w:r>
                                <w:rPr>
                                  <w:vertAlign w:val="superscript"/>
                                </w:rPr>
                                <w:t>1</w:t>
                              </w:r>
                              <w:r>
                                <w:t xml:space="preserve"> </w:t>
                              </w:r>
                              <w:r>
                                <w:br/>
                                <w:t> </w:t>
                              </w:r>
                            </w:p>
                          </w:tc>
                          <w:tc>
                            <w:tcPr>
                              <w:tcW w:w="0" w:type="auto"/>
                              <w:shd w:val="clear" w:color="auto" w:fill="FFFFFF"/>
                              <w:hideMark/>
                            </w:tcPr>
                            <w:p w14:paraId="44E48284" w14:textId="77777777" w:rsidR="00556141" w:rsidRDefault="00556141">
                              <w:r>
                                <w:t>1.02</w:t>
                              </w:r>
                            </w:p>
                          </w:tc>
                          <w:tc>
                            <w:tcPr>
                              <w:tcW w:w="0" w:type="auto"/>
                              <w:shd w:val="clear" w:color="auto" w:fill="FFFFFF"/>
                              <w:hideMark/>
                            </w:tcPr>
                            <w:p w14:paraId="0D6FE862" w14:textId="77777777" w:rsidR="00556141" w:rsidRDefault="00556141">
                              <w:r>
                                <w:t>0.45</w:t>
                              </w:r>
                            </w:p>
                          </w:tc>
                        </w:tr>
                        <w:tr w:rsidR="00556141" w14:paraId="18698905" w14:textId="77777777">
                          <w:trPr>
                            <w:tblCellSpacing w:w="7" w:type="dxa"/>
                          </w:trPr>
                          <w:tc>
                            <w:tcPr>
                              <w:tcW w:w="0" w:type="auto"/>
                              <w:shd w:val="clear" w:color="auto" w:fill="FFFFFF"/>
                              <w:hideMark/>
                            </w:tcPr>
                            <w:p w14:paraId="49977BE4" w14:textId="77777777" w:rsidR="00556141" w:rsidRDefault="00556141">
                              <w:r>
                                <w:rPr>
                                  <w:i/>
                                  <w:iCs/>
                                </w:rPr>
                                <w:t>k</w:t>
                              </w:r>
                              <w:r>
                                <w:t xml:space="preserve"> </w:t>
                              </w:r>
                              <w:r>
                                <w:rPr>
                                  <w:vertAlign w:val="subscript"/>
                                </w:rPr>
                                <w:t>21</w:t>
                              </w:r>
                              <w:r>
                                <w:t xml:space="preserve"> </w:t>
                              </w:r>
                              <w:r>
                                <w:br/>
                                <w:t> </w:t>
                              </w:r>
                            </w:p>
                          </w:tc>
                          <w:tc>
                            <w:tcPr>
                              <w:tcW w:w="0" w:type="auto"/>
                              <w:shd w:val="clear" w:color="auto" w:fill="FFFFFF"/>
                              <w:hideMark/>
                            </w:tcPr>
                            <w:p w14:paraId="5378C0A1" w14:textId="77777777" w:rsidR="00556141" w:rsidRDefault="00556141">
                              <w:r>
                                <w:t>hr</w:t>
                              </w:r>
                              <w:r>
                                <w:rPr>
                                  <w:vertAlign w:val="superscript"/>
                                </w:rPr>
                                <w:t>–</w:t>
                              </w:r>
                              <w:r>
                                <w:t xml:space="preserve"> </w:t>
                              </w:r>
                              <w:r>
                                <w:rPr>
                                  <w:vertAlign w:val="superscript"/>
                                </w:rPr>
                                <w:t>1</w:t>
                              </w:r>
                              <w:r>
                                <w:t xml:space="preserve"> </w:t>
                              </w:r>
                              <w:r>
                                <w:br/>
                                <w:t> </w:t>
                              </w:r>
                            </w:p>
                          </w:tc>
                          <w:tc>
                            <w:tcPr>
                              <w:tcW w:w="0" w:type="auto"/>
                              <w:shd w:val="clear" w:color="auto" w:fill="FFFFFF"/>
                              <w:hideMark/>
                            </w:tcPr>
                            <w:p w14:paraId="5A82C26B" w14:textId="77777777" w:rsidR="00556141" w:rsidRDefault="00556141">
                              <w:r>
                                <w:t>0.15</w:t>
                              </w:r>
                            </w:p>
                          </w:tc>
                          <w:tc>
                            <w:tcPr>
                              <w:tcW w:w="0" w:type="auto"/>
                              <w:shd w:val="clear" w:color="auto" w:fill="FFFFFF"/>
                              <w:hideMark/>
                            </w:tcPr>
                            <w:p w14:paraId="65696C38" w14:textId="77777777" w:rsidR="00556141" w:rsidRDefault="00556141">
                              <w:r>
                                <w:t>0.11</w:t>
                              </w:r>
                            </w:p>
                          </w:tc>
                        </w:tr>
                        <w:tr w:rsidR="00556141" w14:paraId="66C655FD" w14:textId="77777777">
                          <w:trPr>
                            <w:tblCellSpacing w:w="7" w:type="dxa"/>
                          </w:trPr>
                          <w:tc>
                            <w:tcPr>
                              <w:tcW w:w="0" w:type="auto"/>
                              <w:shd w:val="clear" w:color="auto" w:fill="FFFFFF"/>
                              <w:hideMark/>
                            </w:tcPr>
                            <w:p w14:paraId="23BA5524" w14:textId="77777777" w:rsidR="00556141" w:rsidRDefault="00556141">
                              <w:r>
                                <w:rPr>
                                  <w:i/>
                                  <w:iCs/>
                                </w:rPr>
                                <w:t>k</w:t>
                              </w:r>
                              <w:r>
                                <w:t xml:space="preserve">  </w:t>
                              </w:r>
                            </w:p>
                          </w:tc>
                          <w:tc>
                            <w:tcPr>
                              <w:tcW w:w="0" w:type="auto"/>
                              <w:shd w:val="clear" w:color="auto" w:fill="FFFFFF"/>
                              <w:hideMark/>
                            </w:tcPr>
                            <w:p w14:paraId="3E611521" w14:textId="77777777" w:rsidR="00556141" w:rsidRDefault="00556141">
                              <w:r>
                                <w:t>hr</w:t>
                              </w:r>
                              <w:r>
                                <w:rPr>
                                  <w:vertAlign w:val="superscript"/>
                                </w:rPr>
                                <w:t>–</w:t>
                              </w:r>
                              <w:r>
                                <w:t xml:space="preserve"> </w:t>
                              </w:r>
                              <w:r>
                                <w:rPr>
                                  <w:vertAlign w:val="superscript"/>
                                </w:rPr>
                                <w:t>1</w:t>
                              </w:r>
                              <w:r>
                                <w:t xml:space="preserve"> </w:t>
                              </w:r>
                              <w:r>
                                <w:br/>
                                <w:t> </w:t>
                              </w:r>
                            </w:p>
                          </w:tc>
                          <w:tc>
                            <w:tcPr>
                              <w:tcW w:w="0" w:type="auto"/>
                              <w:shd w:val="clear" w:color="auto" w:fill="FFFFFF"/>
                              <w:hideMark/>
                            </w:tcPr>
                            <w:p w14:paraId="2D745EAB" w14:textId="77777777" w:rsidR="00556141" w:rsidRDefault="00556141">
                              <w:r>
                                <w:t>0.18</w:t>
                              </w:r>
                            </w:p>
                          </w:tc>
                          <w:tc>
                            <w:tcPr>
                              <w:tcW w:w="0" w:type="auto"/>
                              <w:shd w:val="clear" w:color="auto" w:fill="FFFFFF"/>
                              <w:hideMark/>
                            </w:tcPr>
                            <w:p w14:paraId="64608B21" w14:textId="77777777" w:rsidR="00556141" w:rsidRDefault="00556141">
                              <w:r>
                                <w:t>0.04</w:t>
                              </w:r>
                            </w:p>
                          </w:tc>
                        </w:tr>
                        <w:tr w:rsidR="00556141" w14:paraId="757FDC54" w14:textId="77777777">
                          <w:trPr>
                            <w:tblCellSpacing w:w="7" w:type="dxa"/>
                          </w:trPr>
                          <w:tc>
                            <w:tcPr>
                              <w:tcW w:w="0" w:type="auto"/>
                              <w:shd w:val="clear" w:color="auto" w:fill="FFFFFF"/>
                              <w:hideMark/>
                            </w:tcPr>
                            <w:p w14:paraId="61DDC56B" w14:textId="77777777" w:rsidR="00556141" w:rsidRDefault="00556141">
                              <w:r>
                                <w:rPr>
                                  <w:i/>
                                  <w:iCs/>
                                </w:rPr>
                                <w:t>V</w:t>
                              </w:r>
                              <w:r>
                                <w:t xml:space="preserve"> </w:t>
                              </w:r>
                              <w:r>
                                <w:rPr>
                                  <w:vertAlign w:val="subscript"/>
                                </w:rPr>
                                <w:t>p</w:t>
                              </w:r>
                              <w:r>
                                <w:t xml:space="preserve"> </w:t>
                              </w:r>
                              <w:r>
                                <w:br/>
                                <w:t> </w:t>
                              </w:r>
                            </w:p>
                          </w:tc>
                          <w:tc>
                            <w:tcPr>
                              <w:tcW w:w="0" w:type="auto"/>
                              <w:shd w:val="clear" w:color="auto" w:fill="FFFFFF"/>
                              <w:hideMark/>
                            </w:tcPr>
                            <w:p w14:paraId="13EB730A" w14:textId="77777777" w:rsidR="00556141" w:rsidRDefault="00556141">
                              <w:r>
                                <w:t>L/kg</w:t>
                              </w:r>
                            </w:p>
                          </w:tc>
                          <w:tc>
                            <w:tcPr>
                              <w:tcW w:w="0" w:type="auto"/>
                              <w:shd w:val="clear" w:color="auto" w:fill="FFFFFF"/>
                              <w:hideMark/>
                            </w:tcPr>
                            <w:p w14:paraId="4AA8FFF4" w14:textId="77777777" w:rsidR="00556141" w:rsidRDefault="00556141">
                              <w:r>
                                <w:t>0.78</w:t>
                              </w:r>
                            </w:p>
                          </w:tc>
                          <w:tc>
                            <w:tcPr>
                              <w:tcW w:w="0" w:type="auto"/>
                              <w:shd w:val="clear" w:color="auto" w:fill="FFFFFF"/>
                              <w:hideMark/>
                            </w:tcPr>
                            <w:p w14:paraId="50700BC1" w14:textId="77777777" w:rsidR="00556141" w:rsidRDefault="00556141">
                              <w:r>
                                <w:t>0.73</w:t>
                              </w:r>
                            </w:p>
                          </w:tc>
                        </w:tr>
                        <w:tr w:rsidR="00556141" w14:paraId="0E5AA61D" w14:textId="77777777">
                          <w:trPr>
                            <w:tblCellSpacing w:w="7" w:type="dxa"/>
                          </w:trPr>
                          <w:tc>
                            <w:tcPr>
                              <w:tcW w:w="0" w:type="auto"/>
                              <w:shd w:val="clear" w:color="auto" w:fill="FFFFFF"/>
                              <w:hideMark/>
                            </w:tcPr>
                            <w:p w14:paraId="45346DF6" w14:textId="77777777" w:rsidR="00556141" w:rsidRDefault="00556141">
                              <w:r>
                                <w:rPr>
                                  <w:i/>
                                  <w:iCs/>
                                </w:rPr>
                                <w:t>D</w:t>
                              </w:r>
                              <w:r>
                                <w:t xml:space="preserve">  </w:t>
                              </w:r>
                            </w:p>
                          </w:tc>
                          <w:tc>
                            <w:tcPr>
                              <w:tcW w:w="0" w:type="auto"/>
                              <w:shd w:val="clear" w:color="auto" w:fill="FFFFFF"/>
                              <w:hideMark/>
                            </w:tcPr>
                            <w:p w14:paraId="076B627E" w14:textId="134608B1" w:rsidR="00556141" w:rsidRDefault="00556141">
                              <w:r>
                                <w:rPr>
                                  <w:noProof/>
                                </w:rPr>
                                <mc:AlternateContent>
                                  <mc:Choice Requires="wps">
                                    <w:drawing>
                                      <wp:inline distT="0" distB="0" distL="0" distR="0" wp14:anchorId="2F956331" wp14:editId="66F655CA">
                                        <wp:extent cx="304800" cy="304800"/>
                                        <wp:effectExtent l="0" t="0" r="0" b="0"/>
                                        <wp:docPr id="1594747398"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35CC2"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g/kg</w:t>
                              </w:r>
                            </w:p>
                          </w:tc>
                          <w:tc>
                            <w:tcPr>
                              <w:tcW w:w="0" w:type="auto"/>
                              <w:shd w:val="clear" w:color="auto" w:fill="FFFFFF"/>
                              <w:hideMark/>
                            </w:tcPr>
                            <w:p w14:paraId="3DAE335F" w14:textId="77777777" w:rsidR="00556141" w:rsidRDefault="00556141">
                              <w:r>
                                <w:t>3.6</w:t>
                              </w:r>
                            </w:p>
                          </w:tc>
                          <w:tc>
                            <w:tcPr>
                              <w:tcW w:w="0" w:type="auto"/>
                              <w:shd w:val="clear" w:color="auto" w:fill="FFFFFF"/>
                              <w:hideMark/>
                            </w:tcPr>
                            <w:p w14:paraId="5EF594CF" w14:textId="77777777" w:rsidR="00556141" w:rsidRDefault="00556141">
                              <w:r>
                                <w:t>3.6</w:t>
                              </w:r>
                            </w:p>
                          </w:tc>
                        </w:tr>
                        <w:tr w:rsidR="00556141" w14:paraId="2A2CF46E" w14:textId="77777777">
                          <w:trPr>
                            <w:tblCellSpacing w:w="7" w:type="dxa"/>
                          </w:trPr>
                          <w:tc>
                            <w:tcPr>
                              <w:tcW w:w="0" w:type="auto"/>
                              <w:shd w:val="clear" w:color="auto" w:fill="FFFFFF"/>
                              <w:hideMark/>
                            </w:tcPr>
                            <w:p w14:paraId="46A36301" w14:textId="77777777" w:rsidR="00556141" w:rsidRDefault="00556141">
                              <w:r>
                                <w:rPr>
                                  <w:i/>
                                  <w:iCs/>
                                </w:rPr>
                                <w:t>a</w:t>
                              </w:r>
                              <w:r>
                                <w:t xml:space="preserve">  </w:t>
                              </w:r>
                            </w:p>
                          </w:tc>
                          <w:tc>
                            <w:tcPr>
                              <w:tcW w:w="0" w:type="auto"/>
                              <w:shd w:val="clear" w:color="auto" w:fill="FFFFFF"/>
                              <w:hideMark/>
                            </w:tcPr>
                            <w:p w14:paraId="0519E73F" w14:textId="77777777" w:rsidR="00556141" w:rsidRDefault="00556141">
                              <w:r>
                                <w:t>1/hr</w:t>
                              </w:r>
                            </w:p>
                          </w:tc>
                          <w:tc>
                            <w:tcPr>
                              <w:tcW w:w="0" w:type="auto"/>
                              <w:shd w:val="clear" w:color="auto" w:fill="FFFFFF"/>
                              <w:hideMark/>
                            </w:tcPr>
                            <w:p w14:paraId="4DC9131C" w14:textId="77777777" w:rsidR="00556141" w:rsidRDefault="00556141">
                              <w:r>
                                <w:t>1.331</w:t>
                              </w:r>
                            </w:p>
                          </w:tc>
                          <w:tc>
                            <w:tcPr>
                              <w:tcW w:w="0" w:type="auto"/>
                              <w:shd w:val="clear" w:color="auto" w:fill="FFFFFF"/>
                              <w:hideMark/>
                            </w:tcPr>
                            <w:p w14:paraId="35EEEDFE" w14:textId="77777777" w:rsidR="00556141" w:rsidRDefault="00556141">
                              <w:r>
                                <w:t>0.593</w:t>
                              </w:r>
                            </w:p>
                          </w:tc>
                        </w:tr>
                        <w:tr w:rsidR="00556141" w14:paraId="03BBE932" w14:textId="77777777">
                          <w:trPr>
                            <w:tblCellSpacing w:w="7" w:type="dxa"/>
                          </w:trPr>
                          <w:tc>
                            <w:tcPr>
                              <w:tcW w:w="0" w:type="auto"/>
                              <w:shd w:val="clear" w:color="auto" w:fill="FFFFFF"/>
                              <w:hideMark/>
                            </w:tcPr>
                            <w:p w14:paraId="19A9DA8F" w14:textId="77777777" w:rsidR="00556141" w:rsidRDefault="00556141">
                              <w:r>
                                <w:rPr>
                                  <w:i/>
                                  <w:iCs/>
                                </w:rPr>
                                <w:t>b</w:t>
                              </w:r>
                              <w:r>
                                <w:t xml:space="preserve">  </w:t>
                              </w:r>
                            </w:p>
                          </w:tc>
                          <w:tc>
                            <w:tcPr>
                              <w:tcW w:w="0" w:type="auto"/>
                              <w:shd w:val="clear" w:color="auto" w:fill="FFFFFF"/>
                              <w:hideMark/>
                            </w:tcPr>
                            <w:p w14:paraId="24325513" w14:textId="77777777" w:rsidR="00556141" w:rsidRDefault="00556141">
                              <w:r>
                                <w:t>1/hr</w:t>
                              </w:r>
                            </w:p>
                          </w:tc>
                          <w:tc>
                            <w:tcPr>
                              <w:tcW w:w="0" w:type="auto"/>
                              <w:shd w:val="clear" w:color="auto" w:fill="FFFFFF"/>
                              <w:hideMark/>
                            </w:tcPr>
                            <w:p w14:paraId="39F68B6D" w14:textId="77777777" w:rsidR="00556141" w:rsidRDefault="00556141">
                              <w:r>
                                <w:t>0.019</w:t>
                              </w:r>
                            </w:p>
                          </w:tc>
                          <w:tc>
                            <w:tcPr>
                              <w:tcW w:w="0" w:type="auto"/>
                              <w:shd w:val="clear" w:color="auto" w:fill="FFFFFF"/>
                              <w:hideMark/>
                            </w:tcPr>
                            <w:p w14:paraId="424FA00D" w14:textId="77777777" w:rsidR="00556141" w:rsidRDefault="00556141">
                              <w:r>
                                <w:t>0.007</w:t>
                              </w:r>
                            </w:p>
                          </w:tc>
                        </w:tr>
                      </w:tbl>
                      <w:p w14:paraId="5AEDC7CD" w14:textId="77777777" w:rsidR="00556141" w:rsidRDefault="00556141"/>
                    </w:tc>
                  </w:tr>
                  <w:tr w:rsidR="00556141" w14:paraId="78A884BA" w14:textId="77777777">
                    <w:trPr>
                      <w:tblCellSpacing w:w="0" w:type="dxa"/>
                    </w:trPr>
                    <w:tc>
                      <w:tcPr>
                        <w:tcW w:w="0" w:type="auto"/>
                        <w:shd w:val="clear" w:color="auto" w:fill="FFFFFF"/>
                        <w:vAlign w:val="center"/>
                        <w:hideMark/>
                      </w:tcPr>
                      <w:p w14:paraId="5FEF4149" w14:textId="77777777" w:rsidR="00556141" w:rsidRDefault="00556141">
                        <w:pPr>
                          <w:rPr>
                            <w:sz w:val="24"/>
                            <w:szCs w:val="24"/>
                          </w:rPr>
                        </w:pPr>
                      </w:p>
                    </w:tc>
                  </w:tr>
                </w:tbl>
                <w:p w14:paraId="73F8D365" w14:textId="77777777" w:rsidR="00556141" w:rsidRDefault="00556141">
                  <w:pPr>
                    <w:rPr>
                      <w:vanish/>
                    </w:rPr>
                  </w:pPr>
                  <w:bookmarkStart w:id="70" w:name="2486263"/>
                  <w:bookmarkEnd w:id="7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56141" w14:paraId="53601BB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56141" w14:paraId="1FC0311C" w14:textId="77777777">
                          <w:trPr>
                            <w:tblCellSpacing w:w="0" w:type="dxa"/>
                          </w:trPr>
                          <w:tc>
                            <w:tcPr>
                              <w:tcW w:w="0" w:type="auto"/>
                              <w:vAlign w:val="center"/>
                              <w:hideMark/>
                            </w:tcPr>
                            <w:p w14:paraId="2BD2C566" w14:textId="77777777" w:rsidR="00556141" w:rsidRDefault="00556141">
                              <w:pPr>
                                <w:pStyle w:val="tabletitle"/>
                              </w:pPr>
                              <w:r>
                                <w:t>Table 4.5 Amount of Digoxin in Plasma and Tissue Compartment after an IV Dose of 0.252 mg in a Normal and a Renal-Failure Patient Weighing 70 kg</w:t>
                              </w:r>
                              <w:r>
                                <w:rPr>
                                  <w:vertAlign w:val="superscript"/>
                                </w:rPr>
                                <w:t>a</w:t>
                              </w:r>
                              <w:r>
                                <w:t xml:space="preserve"> </w:t>
                              </w:r>
                            </w:p>
                            <w:p w14:paraId="4FEBAFB2" w14:textId="77777777" w:rsidR="00556141" w:rsidRDefault="00556141"/>
                          </w:tc>
                        </w:tr>
                      </w:tbl>
                      <w:p w14:paraId="2B28B2CD" w14:textId="77777777" w:rsidR="00556141" w:rsidRDefault="00556141"/>
                    </w:tc>
                  </w:tr>
                  <w:tr w:rsidR="00556141" w14:paraId="3EB66B8C"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837"/>
                          <w:gridCol w:w="2143"/>
                          <w:gridCol w:w="2087"/>
                          <w:gridCol w:w="2143"/>
                          <w:gridCol w:w="2094"/>
                        </w:tblGrid>
                        <w:tr w:rsidR="00556141" w14:paraId="0170A0F7" w14:textId="77777777">
                          <w:trPr>
                            <w:tblHeader/>
                            <w:tblCellSpacing w:w="7" w:type="dxa"/>
                          </w:trPr>
                          <w:tc>
                            <w:tcPr>
                              <w:tcW w:w="0" w:type="auto"/>
                              <w:shd w:val="clear" w:color="auto" w:fill="FFFFFF"/>
                              <w:hideMark/>
                            </w:tcPr>
                            <w:p w14:paraId="291432FE" w14:textId="77777777" w:rsidR="00556141" w:rsidRDefault="00556141">
                              <w:pPr>
                                <w:rPr>
                                  <w:b/>
                                  <w:bCs/>
                                  <w:sz w:val="24"/>
                                  <w:szCs w:val="24"/>
                                </w:rPr>
                              </w:pPr>
                              <w:r>
                                <w:rPr>
                                  <w:b/>
                                  <w:bCs/>
                                </w:rPr>
                                <w:t> </w:t>
                              </w:r>
                            </w:p>
                          </w:tc>
                          <w:tc>
                            <w:tcPr>
                              <w:tcW w:w="0" w:type="auto"/>
                              <w:gridSpan w:val="4"/>
                              <w:shd w:val="clear" w:color="auto" w:fill="FFFFFF"/>
                              <w:hideMark/>
                            </w:tcPr>
                            <w:p w14:paraId="06F50940" w14:textId="77777777" w:rsidR="00556141" w:rsidRDefault="00556141">
                              <w:pPr>
                                <w:rPr>
                                  <w:b/>
                                  <w:bCs/>
                                </w:rPr>
                              </w:pPr>
                              <w:r>
                                <w:rPr>
                                  <w:b/>
                                  <w:bCs/>
                                </w:rPr>
                                <w:t>Digoxin Amount</w:t>
                              </w:r>
                            </w:p>
                          </w:tc>
                        </w:tr>
                        <w:tr w:rsidR="00556141" w14:paraId="5186C6A2" w14:textId="77777777">
                          <w:trPr>
                            <w:tblHeader/>
                            <w:tblCellSpacing w:w="7" w:type="dxa"/>
                          </w:trPr>
                          <w:tc>
                            <w:tcPr>
                              <w:tcW w:w="0" w:type="auto"/>
                              <w:shd w:val="clear" w:color="auto" w:fill="FFFFFF"/>
                              <w:hideMark/>
                            </w:tcPr>
                            <w:p w14:paraId="58DBC67F" w14:textId="77777777" w:rsidR="00556141" w:rsidRDefault="00556141">
                              <w:pPr>
                                <w:rPr>
                                  <w:b/>
                                  <w:bCs/>
                                </w:rPr>
                              </w:pPr>
                              <w:r>
                                <w:rPr>
                                  <w:b/>
                                  <w:bCs/>
                                </w:rPr>
                                <w:t> </w:t>
                              </w:r>
                            </w:p>
                          </w:tc>
                          <w:tc>
                            <w:tcPr>
                              <w:tcW w:w="0" w:type="auto"/>
                              <w:gridSpan w:val="2"/>
                              <w:shd w:val="clear" w:color="auto" w:fill="FFFFFF"/>
                              <w:hideMark/>
                            </w:tcPr>
                            <w:p w14:paraId="025ADAC5" w14:textId="77777777" w:rsidR="00556141" w:rsidRDefault="00556141">
                              <w:pPr>
                                <w:rPr>
                                  <w:b/>
                                  <w:bCs/>
                                </w:rPr>
                              </w:pPr>
                              <w:r>
                                <w:rPr>
                                  <w:b/>
                                  <w:bCs/>
                                </w:rPr>
                                <w:t>Normal Renal Function</w:t>
                              </w:r>
                            </w:p>
                          </w:tc>
                          <w:tc>
                            <w:tcPr>
                              <w:tcW w:w="0" w:type="auto"/>
                              <w:gridSpan w:val="2"/>
                              <w:shd w:val="clear" w:color="auto" w:fill="FFFFFF"/>
                              <w:hideMark/>
                            </w:tcPr>
                            <w:p w14:paraId="72877455" w14:textId="77777777" w:rsidR="00556141" w:rsidRDefault="00556141">
                              <w:pPr>
                                <w:rPr>
                                  <w:b/>
                                  <w:bCs/>
                                </w:rPr>
                              </w:pPr>
                              <w:r>
                                <w:rPr>
                                  <w:b/>
                                  <w:bCs/>
                                </w:rPr>
                                <w:t>Renal Failure (RF)</w:t>
                              </w:r>
                            </w:p>
                          </w:tc>
                        </w:tr>
                        <w:tr w:rsidR="00556141" w14:paraId="483A5BC6" w14:textId="77777777">
                          <w:trPr>
                            <w:tblHeader/>
                            <w:tblCellSpacing w:w="7" w:type="dxa"/>
                          </w:trPr>
                          <w:tc>
                            <w:tcPr>
                              <w:tcW w:w="0" w:type="auto"/>
                              <w:shd w:val="clear" w:color="auto" w:fill="FFFFFF"/>
                              <w:hideMark/>
                            </w:tcPr>
                            <w:p w14:paraId="3A7F1908" w14:textId="77777777" w:rsidR="00556141" w:rsidRDefault="00556141">
                              <w:pPr>
                                <w:rPr>
                                  <w:b/>
                                  <w:bCs/>
                                </w:rPr>
                              </w:pPr>
                              <w:r>
                                <w:rPr>
                                  <w:b/>
                                  <w:bCs/>
                                </w:rPr>
                                <w:t>Time (hr)</w:t>
                              </w:r>
                            </w:p>
                          </w:tc>
                          <w:tc>
                            <w:tcPr>
                              <w:tcW w:w="0" w:type="auto"/>
                              <w:shd w:val="clear" w:color="auto" w:fill="FFFFFF"/>
                              <w:hideMark/>
                            </w:tcPr>
                            <w:p w14:paraId="38F01C20" w14:textId="51EC856F" w:rsidR="00556141" w:rsidRDefault="00556141">
                              <w:pPr>
                                <w:rPr>
                                  <w:b/>
                                  <w:bCs/>
                                </w:rPr>
                              </w:pPr>
                              <w:r>
                                <w:rPr>
                                  <w:b/>
                                  <w:bCs/>
                                  <w:i/>
                                  <w:iCs/>
                                </w:rPr>
                                <w:t>D</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110B0A86" wp14:editId="179533AF">
                                        <wp:extent cx="304800" cy="304800"/>
                                        <wp:effectExtent l="0" t="0" r="0" b="0"/>
                                        <wp:docPr id="1421349700"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BC1EF"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w:t>
                              </w:r>
                              <w:r>
                                <w:rPr>
                                  <w:b/>
                                  <w:bCs/>
                                </w:rPr>
                                <w:br/>
                                <w:t> </w:t>
                              </w:r>
                            </w:p>
                          </w:tc>
                          <w:tc>
                            <w:tcPr>
                              <w:tcW w:w="0" w:type="auto"/>
                              <w:shd w:val="clear" w:color="auto" w:fill="FFFFFF"/>
                              <w:hideMark/>
                            </w:tcPr>
                            <w:p w14:paraId="6E73D7C1" w14:textId="432372AB" w:rsidR="00556141" w:rsidRDefault="00556141">
                              <w:pPr>
                                <w:rPr>
                                  <w:b/>
                                  <w:bCs/>
                                </w:rPr>
                              </w:pPr>
                              <w:r>
                                <w:rPr>
                                  <w:b/>
                                  <w:bCs/>
                                  <w:i/>
                                  <w:iCs/>
                                </w:rPr>
                                <w:t>D</w:t>
                              </w:r>
                              <w:r>
                                <w:rPr>
                                  <w:b/>
                                  <w:bCs/>
                                </w:rPr>
                                <w:t xml:space="preserve"> </w:t>
                              </w:r>
                              <w:r>
                                <w:rPr>
                                  <w:b/>
                                  <w:bCs/>
                                  <w:vertAlign w:val="subscript"/>
                                </w:rPr>
                                <w:t>t</w:t>
                              </w:r>
                              <w:r>
                                <w:rPr>
                                  <w:b/>
                                  <w:bCs/>
                                </w:rPr>
                                <w:t xml:space="preserve"> (</w:t>
                              </w:r>
                              <w:r>
                                <w:rPr>
                                  <w:b/>
                                  <w:bCs/>
                                  <w:noProof/>
                                </w:rPr>
                                <mc:AlternateContent>
                                  <mc:Choice Requires="wps">
                                    <w:drawing>
                                      <wp:inline distT="0" distB="0" distL="0" distR="0" wp14:anchorId="6F9F613D" wp14:editId="7FF7090F">
                                        <wp:extent cx="304800" cy="304800"/>
                                        <wp:effectExtent l="0" t="0" r="0" b="0"/>
                                        <wp:docPr id="374885385"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BB2EE"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w:t>
                              </w:r>
                              <w:r>
                                <w:rPr>
                                  <w:b/>
                                  <w:bCs/>
                                </w:rPr>
                                <w:br/>
                                <w:t> </w:t>
                              </w:r>
                            </w:p>
                          </w:tc>
                          <w:tc>
                            <w:tcPr>
                              <w:tcW w:w="0" w:type="auto"/>
                              <w:shd w:val="clear" w:color="auto" w:fill="FFFFFF"/>
                              <w:hideMark/>
                            </w:tcPr>
                            <w:p w14:paraId="6D290909" w14:textId="2E973A43" w:rsidR="00556141" w:rsidRDefault="00556141">
                              <w:pPr>
                                <w:rPr>
                                  <w:b/>
                                  <w:bCs/>
                                </w:rPr>
                              </w:pPr>
                              <w:r>
                                <w:rPr>
                                  <w:b/>
                                  <w:bCs/>
                                  <w:i/>
                                  <w:iCs/>
                                </w:rPr>
                                <w:t>D</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50624198" wp14:editId="145C28D5">
                                        <wp:extent cx="304800" cy="304800"/>
                                        <wp:effectExtent l="0" t="0" r="0" b="0"/>
                                        <wp:docPr id="294109116"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83D2D"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w:t>
                              </w:r>
                              <w:r>
                                <w:rPr>
                                  <w:b/>
                                  <w:bCs/>
                                </w:rPr>
                                <w:br/>
                                <w:t> </w:t>
                              </w:r>
                            </w:p>
                          </w:tc>
                          <w:tc>
                            <w:tcPr>
                              <w:tcW w:w="0" w:type="auto"/>
                              <w:shd w:val="clear" w:color="auto" w:fill="FFFFFF"/>
                              <w:hideMark/>
                            </w:tcPr>
                            <w:p w14:paraId="5A4C9D46" w14:textId="0FC911BA" w:rsidR="00556141" w:rsidRDefault="00556141">
                              <w:pPr>
                                <w:rPr>
                                  <w:b/>
                                  <w:bCs/>
                                </w:rPr>
                              </w:pPr>
                              <w:r>
                                <w:rPr>
                                  <w:b/>
                                  <w:bCs/>
                                  <w:i/>
                                  <w:iCs/>
                                </w:rPr>
                                <w:t>D</w:t>
                              </w:r>
                              <w:r>
                                <w:rPr>
                                  <w:b/>
                                  <w:bCs/>
                                </w:rPr>
                                <w:t xml:space="preserve"> </w:t>
                              </w:r>
                              <w:r>
                                <w:rPr>
                                  <w:b/>
                                  <w:bCs/>
                                  <w:vertAlign w:val="subscript"/>
                                </w:rPr>
                                <w:t>t</w:t>
                              </w:r>
                              <w:r>
                                <w:rPr>
                                  <w:b/>
                                  <w:bCs/>
                                </w:rPr>
                                <w:t xml:space="preserve"> (</w:t>
                              </w:r>
                              <w:r>
                                <w:rPr>
                                  <w:b/>
                                  <w:bCs/>
                                  <w:noProof/>
                                </w:rPr>
                                <mc:AlternateContent>
                                  <mc:Choice Requires="wps">
                                    <w:drawing>
                                      <wp:inline distT="0" distB="0" distL="0" distR="0" wp14:anchorId="647B355D" wp14:editId="354AC089">
                                        <wp:extent cx="304800" cy="304800"/>
                                        <wp:effectExtent l="0" t="0" r="0" b="0"/>
                                        <wp:docPr id="41862989"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432CC"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w:t>
                              </w:r>
                              <w:r>
                                <w:rPr>
                                  <w:b/>
                                  <w:bCs/>
                                </w:rPr>
                                <w:br/>
                                <w:t> </w:t>
                              </w:r>
                            </w:p>
                          </w:tc>
                        </w:tr>
                        <w:tr w:rsidR="00556141" w14:paraId="7B71DC0A" w14:textId="77777777">
                          <w:trPr>
                            <w:tblCellSpacing w:w="7" w:type="dxa"/>
                          </w:trPr>
                          <w:tc>
                            <w:tcPr>
                              <w:tcW w:w="0" w:type="auto"/>
                              <w:shd w:val="clear" w:color="auto" w:fill="FFFFFF"/>
                              <w:hideMark/>
                            </w:tcPr>
                            <w:p w14:paraId="01DF9080" w14:textId="77777777" w:rsidR="00556141" w:rsidRDefault="00556141">
                              <w:r>
                                <w:t>0.00</w:t>
                              </w:r>
                            </w:p>
                          </w:tc>
                          <w:tc>
                            <w:tcPr>
                              <w:tcW w:w="0" w:type="auto"/>
                              <w:shd w:val="clear" w:color="auto" w:fill="FFFFFF"/>
                              <w:hideMark/>
                            </w:tcPr>
                            <w:p w14:paraId="78B7429B" w14:textId="77777777" w:rsidR="00556141" w:rsidRDefault="00556141">
                              <w:r>
                                <w:t>252.00</w:t>
                              </w:r>
                            </w:p>
                          </w:tc>
                          <w:tc>
                            <w:tcPr>
                              <w:tcW w:w="0" w:type="auto"/>
                              <w:shd w:val="clear" w:color="auto" w:fill="FFFFFF"/>
                              <w:hideMark/>
                            </w:tcPr>
                            <w:p w14:paraId="298338C9" w14:textId="77777777" w:rsidR="00556141" w:rsidRDefault="00556141">
                              <w:r>
                                <w:t>0.00</w:t>
                              </w:r>
                            </w:p>
                          </w:tc>
                          <w:tc>
                            <w:tcPr>
                              <w:tcW w:w="0" w:type="auto"/>
                              <w:shd w:val="clear" w:color="auto" w:fill="FFFFFF"/>
                              <w:hideMark/>
                            </w:tcPr>
                            <w:p w14:paraId="2A2646F8" w14:textId="77777777" w:rsidR="00556141" w:rsidRDefault="00556141">
                              <w:r>
                                <w:t>252.00</w:t>
                              </w:r>
                            </w:p>
                          </w:tc>
                          <w:tc>
                            <w:tcPr>
                              <w:tcW w:w="0" w:type="auto"/>
                              <w:shd w:val="clear" w:color="auto" w:fill="FFFFFF"/>
                              <w:hideMark/>
                            </w:tcPr>
                            <w:p w14:paraId="197D6AAB" w14:textId="77777777" w:rsidR="00556141" w:rsidRDefault="00556141">
                              <w:r>
                                <w:t>0.00</w:t>
                              </w:r>
                            </w:p>
                          </w:tc>
                        </w:tr>
                        <w:tr w:rsidR="00556141" w14:paraId="74F2D878" w14:textId="77777777">
                          <w:trPr>
                            <w:tblCellSpacing w:w="7" w:type="dxa"/>
                          </w:trPr>
                          <w:tc>
                            <w:tcPr>
                              <w:tcW w:w="0" w:type="auto"/>
                              <w:shd w:val="clear" w:color="auto" w:fill="FFFFFF"/>
                              <w:hideMark/>
                            </w:tcPr>
                            <w:p w14:paraId="5A135521" w14:textId="77777777" w:rsidR="00556141" w:rsidRDefault="00556141">
                              <w:r>
                                <w:t>0.10</w:t>
                              </w:r>
                            </w:p>
                          </w:tc>
                          <w:tc>
                            <w:tcPr>
                              <w:tcW w:w="0" w:type="auto"/>
                              <w:shd w:val="clear" w:color="auto" w:fill="FFFFFF"/>
                              <w:hideMark/>
                            </w:tcPr>
                            <w:p w14:paraId="32B5C99A" w14:textId="77777777" w:rsidR="00556141" w:rsidRDefault="00556141">
                              <w:r>
                                <w:t>223.68</w:t>
                              </w:r>
                            </w:p>
                          </w:tc>
                          <w:tc>
                            <w:tcPr>
                              <w:tcW w:w="0" w:type="auto"/>
                              <w:shd w:val="clear" w:color="auto" w:fill="FFFFFF"/>
                              <w:hideMark/>
                            </w:tcPr>
                            <w:p w14:paraId="0303E108" w14:textId="77777777" w:rsidR="00556141" w:rsidRDefault="00556141">
                              <w:r>
                                <w:t>24.04</w:t>
                              </w:r>
                            </w:p>
                          </w:tc>
                          <w:tc>
                            <w:tcPr>
                              <w:tcW w:w="0" w:type="auto"/>
                              <w:shd w:val="clear" w:color="auto" w:fill="FFFFFF"/>
                              <w:hideMark/>
                            </w:tcPr>
                            <w:p w14:paraId="46DC9957" w14:textId="77777777" w:rsidR="00556141" w:rsidRDefault="00556141">
                              <w:r>
                                <w:t>240.01</w:t>
                              </w:r>
                            </w:p>
                          </w:tc>
                          <w:tc>
                            <w:tcPr>
                              <w:tcW w:w="0" w:type="auto"/>
                              <w:shd w:val="clear" w:color="auto" w:fill="FFFFFF"/>
                              <w:hideMark/>
                            </w:tcPr>
                            <w:p w14:paraId="17F3899C" w14:textId="77777777" w:rsidR="00556141" w:rsidRDefault="00556141">
                              <w:r>
                                <w:t>11.01</w:t>
                              </w:r>
                            </w:p>
                          </w:tc>
                        </w:tr>
                        <w:tr w:rsidR="00556141" w14:paraId="33A012CF" w14:textId="77777777">
                          <w:trPr>
                            <w:tblCellSpacing w:w="7" w:type="dxa"/>
                          </w:trPr>
                          <w:tc>
                            <w:tcPr>
                              <w:tcW w:w="0" w:type="auto"/>
                              <w:shd w:val="clear" w:color="auto" w:fill="FFFFFF"/>
                              <w:hideMark/>
                            </w:tcPr>
                            <w:p w14:paraId="236779A4" w14:textId="77777777" w:rsidR="00556141" w:rsidRDefault="00556141">
                              <w:r>
                                <w:t>0.60</w:t>
                              </w:r>
                            </w:p>
                          </w:tc>
                          <w:tc>
                            <w:tcPr>
                              <w:tcW w:w="0" w:type="auto"/>
                              <w:shd w:val="clear" w:color="auto" w:fill="FFFFFF"/>
                              <w:hideMark/>
                            </w:tcPr>
                            <w:p w14:paraId="53B260C5" w14:textId="77777777" w:rsidR="00556141" w:rsidRDefault="00556141">
                              <w:r>
                                <w:t>126.94</w:t>
                              </w:r>
                            </w:p>
                          </w:tc>
                          <w:tc>
                            <w:tcPr>
                              <w:tcW w:w="0" w:type="auto"/>
                              <w:shd w:val="clear" w:color="auto" w:fill="FFFFFF"/>
                              <w:hideMark/>
                            </w:tcPr>
                            <w:p w14:paraId="7D373762" w14:textId="77777777" w:rsidR="00556141" w:rsidRDefault="00556141">
                              <w:r>
                                <w:t>105.54</w:t>
                              </w:r>
                            </w:p>
                          </w:tc>
                          <w:tc>
                            <w:tcPr>
                              <w:tcW w:w="0" w:type="auto"/>
                              <w:shd w:val="clear" w:color="auto" w:fill="FFFFFF"/>
                              <w:hideMark/>
                            </w:tcPr>
                            <w:p w14:paraId="4A54B84A" w14:textId="77777777" w:rsidR="00556141" w:rsidRDefault="00556141">
                              <w:r>
                                <w:t>189.63</w:t>
                              </w:r>
                            </w:p>
                          </w:tc>
                          <w:tc>
                            <w:tcPr>
                              <w:tcW w:w="0" w:type="auto"/>
                              <w:shd w:val="clear" w:color="auto" w:fill="FFFFFF"/>
                              <w:hideMark/>
                            </w:tcPr>
                            <w:p w14:paraId="2F2EDB4E" w14:textId="77777777" w:rsidR="00556141" w:rsidRDefault="00556141">
                              <w:r>
                                <w:t>57.12</w:t>
                              </w:r>
                            </w:p>
                          </w:tc>
                        </w:tr>
                        <w:tr w:rsidR="00556141" w14:paraId="5D674096" w14:textId="77777777">
                          <w:trPr>
                            <w:tblCellSpacing w:w="7" w:type="dxa"/>
                          </w:trPr>
                          <w:tc>
                            <w:tcPr>
                              <w:tcW w:w="0" w:type="auto"/>
                              <w:shd w:val="clear" w:color="auto" w:fill="FFFFFF"/>
                              <w:hideMark/>
                            </w:tcPr>
                            <w:p w14:paraId="1EFE5004" w14:textId="77777777" w:rsidR="00556141" w:rsidRDefault="00556141">
                              <w:r>
                                <w:t>1.00</w:t>
                              </w:r>
                            </w:p>
                          </w:tc>
                          <w:tc>
                            <w:tcPr>
                              <w:tcW w:w="0" w:type="auto"/>
                              <w:shd w:val="clear" w:color="auto" w:fill="FFFFFF"/>
                              <w:hideMark/>
                            </w:tcPr>
                            <w:p w14:paraId="1D506180" w14:textId="77777777" w:rsidR="00556141" w:rsidRDefault="00556141">
                              <w:r>
                                <w:t>84.62</w:t>
                              </w:r>
                            </w:p>
                          </w:tc>
                          <w:tc>
                            <w:tcPr>
                              <w:tcW w:w="0" w:type="auto"/>
                              <w:shd w:val="clear" w:color="auto" w:fill="FFFFFF"/>
                              <w:hideMark/>
                            </w:tcPr>
                            <w:p w14:paraId="2FB9403F" w14:textId="77777777" w:rsidR="00556141" w:rsidRDefault="00556141">
                              <w:r>
                                <w:t>140.46</w:t>
                              </w:r>
                            </w:p>
                          </w:tc>
                          <w:tc>
                            <w:tcPr>
                              <w:tcW w:w="0" w:type="auto"/>
                              <w:shd w:val="clear" w:color="auto" w:fill="FFFFFF"/>
                              <w:hideMark/>
                            </w:tcPr>
                            <w:p w14:paraId="70E27512" w14:textId="77777777" w:rsidR="00556141" w:rsidRDefault="00556141">
                              <w:r>
                                <w:t>158.78</w:t>
                              </w:r>
                            </w:p>
                          </w:tc>
                          <w:tc>
                            <w:tcPr>
                              <w:tcW w:w="0" w:type="auto"/>
                              <w:shd w:val="clear" w:color="auto" w:fill="FFFFFF"/>
                              <w:hideMark/>
                            </w:tcPr>
                            <w:p w14:paraId="3AB2189E" w14:textId="77777777" w:rsidR="00556141" w:rsidRDefault="00556141">
                              <w:r>
                                <w:t>85.22</w:t>
                              </w:r>
                            </w:p>
                          </w:tc>
                        </w:tr>
                        <w:tr w:rsidR="00556141" w14:paraId="4C7047FB" w14:textId="77777777">
                          <w:trPr>
                            <w:tblCellSpacing w:w="7" w:type="dxa"/>
                          </w:trPr>
                          <w:tc>
                            <w:tcPr>
                              <w:tcW w:w="0" w:type="auto"/>
                              <w:shd w:val="clear" w:color="auto" w:fill="FFFFFF"/>
                              <w:hideMark/>
                            </w:tcPr>
                            <w:p w14:paraId="5D259681" w14:textId="77777777" w:rsidR="00556141" w:rsidRDefault="00556141">
                              <w:r>
                                <w:t>2.00</w:t>
                              </w:r>
                            </w:p>
                          </w:tc>
                          <w:tc>
                            <w:tcPr>
                              <w:tcW w:w="0" w:type="auto"/>
                              <w:shd w:val="clear" w:color="auto" w:fill="FFFFFF"/>
                              <w:hideMark/>
                            </w:tcPr>
                            <w:p w14:paraId="060BAECE" w14:textId="77777777" w:rsidR="00556141" w:rsidRDefault="00556141">
                              <w:r>
                                <w:t>40.06</w:t>
                              </w:r>
                            </w:p>
                          </w:tc>
                          <w:tc>
                            <w:tcPr>
                              <w:tcW w:w="0" w:type="auto"/>
                              <w:shd w:val="clear" w:color="auto" w:fill="FFFFFF"/>
                              <w:hideMark/>
                            </w:tcPr>
                            <w:p w14:paraId="093DC372" w14:textId="77777777" w:rsidR="00556141" w:rsidRDefault="00556141">
                              <w:r>
                                <w:t>174.93</w:t>
                              </w:r>
                            </w:p>
                          </w:tc>
                          <w:tc>
                            <w:tcPr>
                              <w:tcW w:w="0" w:type="auto"/>
                              <w:shd w:val="clear" w:color="auto" w:fill="FFFFFF"/>
                              <w:hideMark/>
                            </w:tcPr>
                            <w:p w14:paraId="217F9F25" w14:textId="77777777" w:rsidR="00556141" w:rsidRDefault="00556141">
                              <w:r>
                                <w:t>107.12</w:t>
                              </w:r>
                            </w:p>
                          </w:tc>
                          <w:tc>
                            <w:tcPr>
                              <w:tcW w:w="0" w:type="auto"/>
                              <w:shd w:val="clear" w:color="auto" w:fill="FFFFFF"/>
                              <w:hideMark/>
                            </w:tcPr>
                            <w:p w14:paraId="380900CB" w14:textId="77777777" w:rsidR="00556141" w:rsidRDefault="00556141">
                              <w:r>
                                <w:t>131.72</w:t>
                              </w:r>
                            </w:p>
                          </w:tc>
                        </w:tr>
                        <w:tr w:rsidR="00556141" w14:paraId="6CD9B8D6" w14:textId="77777777">
                          <w:trPr>
                            <w:tblCellSpacing w:w="7" w:type="dxa"/>
                          </w:trPr>
                          <w:tc>
                            <w:tcPr>
                              <w:tcW w:w="0" w:type="auto"/>
                              <w:shd w:val="clear" w:color="auto" w:fill="FFFFFF"/>
                              <w:hideMark/>
                            </w:tcPr>
                            <w:p w14:paraId="0A865907" w14:textId="77777777" w:rsidR="00556141" w:rsidRDefault="00556141">
                              <w:r>
                                <w:t>3.00</w:t>
                              </w:r>
                            </w:p>
                          </w:tc>
                          <w:tc>
                            <w:tcPr>
                              <w:tcW w:w="0" w:type="auto"/>
                              <w:shd w:val="clear" w:color="auto" w:fill="FFFFFF"/>
                              <w:hideMark/>
                            </w:tcPr>
                            <w:p w14:paraId="5F122A26" w14:textId="77777777" w:rsidR="00556141" w:rsidRDefault="00556141">
                              <w:r>
                                <w:t>27.95</w:t>
                              </w:r>
                            </w:p>
                          </w:tc>
                          <w:tc>
                            <w:tcPr>
                              <w:tcW w:w="0" w:type="auto"/>
                              <w:shd w:val="clear" w:color="auto" w:fill="FFFFFF"/>
                              <w:hideMark/>
                            </w:tcPr>
                            <w:p w14:paraId="56E7CE04" w14:textId="77777777" w:rsidR="00556141" w:rsidRDefault="00556141">
                              <w:r>
                                <w:t>181.45</w:t>
                              </w:r>
                            </w:p>
                          </w:tc>
                          <w:tc>
                            <w:tcPr>
                              <w:tcW w:w="0" w:type="auto"/>
                              <w:shd w:val="clear" w:color="auto" w:fill="FFFFFF"/>
                              <w:hideMark/>
                            </w:tcPr>
                            <w:p w14:paraId="15D763F8" w14:textId="77777777" w:rsidR="00556141" w:rsidRDefault="00556141">
                              <w:r>
                                <w:t>78.44</w:t>
                              </w:r>
                            </w:p>
                          </w:tc>
                          <w:tc>
                            <w:tcPr>
                              <w:tcW w:w="0" w:type="auto"/>
                              <w:shd w:val="clear" w:color="auto" w:fill="FFFFFF"/>
                              <w:hideMark/>
                            </w:tcPr>
                            <w:p w14:paraId="0322E5E2" w14:textId="77777777" w:rsidR="00556141" w:rsidRDefault="00556141">
                              <w:r>
                                <w:t>156.83</w:t>
                              </w:r>
                            </w:p>
                          </w:tc>
                        </w:tr>
                        <w:tr w:rsidR="00556141" w14:paraId="3E592279" w14:textId="77777777">
                          <w:trPr>
                            <w:tblCellSpacing w:w="7" w:type="dxa"/>
                          </w:trPr>
                          <w:tc>
                            <w:tcPr>
                              <w:tcW w:w="0" w:type="auto"/>
                              <w:shd w:val="clear" w:color="auto" w:fill="FFFFFF"/>
                              <w:hideMark/>
                            </w:tcPr>
                            <w:p w14:paraId="7794CA40" w14:textId="77777777" w:rsidR="00556141" w:rsidRDefault="00556141">
                              <w:r>
                                <w:t>4.00</w:t>
                              </w:r>
                            </w:p>
                          </w:tc>
                          <w:tc>
                            <w:tcPr>
                              <w:tcW w:w="0" w:type="auto"/>
                              <w:shd w:val="clear" w:color="auto" w:fill="FFFFFF"/>
                              <w:hideMark/>
                            </w:tcPr>
                            <w:p w14:paraId="221FE85F" w14:textId="77777777" w:rsidR="00556141" w:rsidRDefault="00556141">
                              <w:r>
                                <w:t>24.43</w:t>
                              </w:r>
                            </w:p>
                          </w:tc>
                          <w:tc>
                            <w:tcPr>
                              <w:tcW w:w="0" w:type="auto"/>
                              <w:shd w:val="clear" w:color="auto" w:fill="FFFFFF"/>
                              <w:hideMark/>
                            </w:tcPr>
                            <w:p w14:paraId="3D224660" w14:textId="77777777" w:rsidR="00556141" w:rsidRDefault="00556141">
                              <w:r>
                                <w:t>180.62</w:t>
                              </w:r>
                            </w:p>
                          </w:tc>
                          <w:tc>
                            <w:tcPr>
                              <w:tcW w:w="0" w:type="auto"/>
                              <w:shd w:val="clear" w:color="auto" w:fill="FFFFFF"/>
                              <w:hideMark/>
                            </w:tcPr>
                            <w:p w14:paraId="66F29DC0" w14:textId="77777777" w:rsidR="00556141" w:rsidRDefault="00556141">
                              <w:r>
                                <w:t>62.45</w:t>
                              </w:r>
                            </w:p>
                          </w:tc>
                          <w:tc>
                            <w:tcPr>
                              <w:tcW w:w="0" w:type="auto"/>
                              <w:shd w:val="clear" w:color="auto" w:fill="FFFFFF"/>
                              <w:hideMark/>
                            </w:tcPr>
                            <w:p w14:paraId="049AB688" w14:textId="77777777" w:rsidR="00556141" w:rsidRDefault="00556141">
                              <w:r>
                                <w:t>170.12</w:t>
                              </w:r>
                            </w:p>
                          </w:tc>
                        </w:tr>
                        <w:tr w:rsidR="00556141" w14:paraId="7F289EA2" w14:textId="77777777">
                          <w:trPr>
                            <w:tblCellSpacing w:w="7" w:type="dxa"/>
                          </w:trPr>
                          <w:tc>
                            <w:tcPr>
                              <w:tcW w:w="0" w:type="auto"/>
                              <w:shd w:val="clear" w:color="auto" w:fill="FFFFFF"/>
                              <w:hideMark/>
                            </w:tcPr>
                            <w:p w14:paraId="7C8C5618" w14:textId="77777777" w:rsidR="00556141" w:rsidRDefault="00556141">
                              <w:r>
                                <w:t>5.00</w:t>
                              </w:r>
                            </w:p>
                          </w:tc>
                          <w:tc>
                            <w:tcPr>
                              <w:tcW w:w="0" w:type="auto"/>
                              <w:shd w:val="clear" w:color="auto" w:fill="FFFFFF"/>
                              <w:hideMark/>
                            </w:tcPr>
                            <w:p w14:paraId="2ECFC444" w14:textId="77777777" w:rsidR="00556141" w:rsidRDefault="00556141">
                              <w:r>
                                <w:t>23.17</w:t>
                              </w:r>
                            </w:p>
                          </w:tc>
                          <w:tc>
                            <w:tcPr>
                              <w:tcW w:w="0" w:type="auto"/>
                              <w:shd w:val="clear" w:color="auto" w:fill="FFFFFF"/>
                              <w:hideMark/>
                            </w:tcPr>
                            <w:p w14:paraId="73A92DC1" w14:textId="77777777" w:rsidR="00556141" w:rsidRDefault="00556141">
                              <w:r>
                                <w:t>177.91</w:t>
                              </w:r>
                            </w:p>
                          </w:tc>
                          <w:tc>
                            <w:tcPr>
                              <w:tcW w:w="0" w:type="auto"/>
                              <w:shd w:val="clear" w:color="auto" w:fill="FFFFFF"/>
                              <w:hideMark/>
                            </w:tcPr>
                            <w:p w14:paraId="3C4D4923" w14:textId="77777777" w:rsidR="00556141" w:rsidRDefault="00556141">
                              <w:r>
                                <w:t>53.48</w:t>
                              </w:r>
                            </w:p>
                          </w:tc>
                          <w:tc>
                            <w:tcPr>
                              <w:tcW w:w="0" w:type="auto"/>
                              <w:shd w:val="clear" w:color="auto" w:fill="FFFFFF"/>
                              <w:hideMark/>
                            </w:tcPr>
                            <w:p w14:paraId="7BFB9FA6" w14:textId="77777777" w:rsidR="00556141" w:rsidRDefault="00556141">
                              <w:r>
                                <w:t>176.88</w:t>
                              </w:r>
                            </w:p>
                          </w:tc>
                        </w:tr>
                        <w:tr w:rsidR="00556141" w14:paraId="7D5A1306" w14:textId="77777777">
                          <w:trPr>
                            <w:tblCellSpacing w:w="7" w:type="dxa"/>
                          </w:trPr>
                          <w:tc>
                            <w:tcPr>
                              <w:tcW w:w="0" w:type="auto"/>
                              <w:shd w:val="clear" w:color="auto" w:fill="FFFFFF"/>
                              <w:hideMark/>
                            </w:tcPr>
                            <w:p w14:paraId="545AAC74" w14:textId="77777777" w:rsidR="00556141" w:rsidRDefault="00556141">
                              <w:r>
                                <w:t>6.00</w:t>
                              </w:r>
                            </w:p>
                          </w:tc>
                          <w:tc>
                            <w:tcPr>
                              <w:tcW w:w="0" w:type="auto"/>
                              <w:shd w:val="clear" w:color="auto" w:fill="FFFFFF"/>
                              <w:hideMark/>
                            </w:tcPr>
                            <w:p w14:paraId="3596C4DE" w14:textId="77777777" w:rsidR="00556141" w:rsidRDefault="00556141">
                              <w:r>
                                <w:t>22.53</w:t>
                              </w:r>
                            </w:p>
                          </w:tc>
                          <w:tc>
                            <w:tcPr>
                              <w:tcW w:w="0" w:type="auto"/>
                              <w:shd w:val="clear" w:color="auto" w:fill="FFFFFF"/>
                              <w:hideMark/>
                            </w:tcPr>
                            <w:p w14:paraId="740B539C" w14:textId="77777777" w:rsidR="00556141" w:rsidRDefault="00556141">
                              <w:r>
                                <w:t>174.74</w:t>
                              </w:r>
                            </w:p>
                          </w:tc>
                          <w:tc>
                            <w:tcPr>
                              <w:tcW w:w="0" w:type="auto"/>
                              <w:shd w:val="clear" w:color="auto" w:fill="FFFFFF"/>
                              <w:hideMark/>
                            </w:tcPr>
                            <w:p w14:paraId="71937524" w14:textId="77777777" w:rsidR="00556141" w:rsidRDefault="00556141">
                              <w:r>
                                <w:t>48.39</w:t>
                              </w:r>
                            </w:p>
                          </w:tc>
                          <w:tc>
                            <w:tcPr>
                              <w:tcW w:w="0" w:type="auto"/>
                              <w:shd w:val="clear" w:color="auto" w:fill="FFFFFF"/>
                              <w:hideMark/>
                            </w:tcPr>
                            <w:p w14:paraId="4101CE74" w14:textId="77777777" w:rsidR="00556141" w:rsidRDefault="00556141">
                              <w:r>
                                <w:t>180.04</w:t>
                              </w:r>
                            </w:p>
                          </w:tc>
                        </w:tr>
                        <w:tr w:rsidR="00556141" w14:paraId="2EC71BCB" w14:textId="77777777">
                          <w:trPr>
                            <w:tblCellSpacing w:w="7" w:type="dxa"/>
                          </w:trPr>
                          <w:tc>
                            <w:tcPr>
                              <w:tcW w:w="0" w:type="auto"/>
                              <w:shd w:val="clear" w:color="auto" w:fill="FFFFFF"/>
                              <w:hideMark/>
                            </w:tcPr>
                            <w:p w14:paraId="0398DA0D" w14:textId="77777777" w:rsidR="00556141" w:rsidRDefault="00556141">
                              <w:r>
                                <w:t>7.00</w:t>
                              </w:r>
                            </w:p>
                          </w:tc>
                          <w:tc>
                            <w:tcPr>
                              <w:tcW w:w="0" w:type="auto"/>
                              <w:shd w:val="clear" w:color="auto" w:fill="FFFFFF"/>
                              <w:hideMark/>
                            </w:tcPr>
                            <w:p w14:paraId="19F1C46C" w14:textId="77777777" w:rsidR="00556141" w:rsidRDefault="00556141">
                              <w:r>
                                <w:t>22.05</w:t>
                              </w:r>
                            </w:p>
                          </w:tc>
                          <w:tc>
                            <w:tcPr>
                              <w:tcW w:w="0" w:type="auto"/>
                              <w:shd w:val="clear" w:color="auto" w:fill="FFFFFF"/>
                              <w:hideMark/>
                            </w:tcPr>
                            <w:p w14:paraId="6B091057" w14:textId="77777777" w:rsidR="00556141" w:rsidRDefault="00556141">
                              <w:r>
                                <w:t>171.50</w:t>
                              </w:r>
                            </w:p>
                          </w:tc>
                          <w:tc>
                            <w:tcPr>
                              <w:tcW w:w="0" w:type="auto"/>
                              <w:shd w:val="clear" w:color="auto" w:fill="FFFFFF"/>
                              <w:hideMark/>
                            </w:tcPr>
                            <w:p w14:paraId="55C4C0C8" w14:textId="77777777" w:rsidR="00556141" w:rsidRDefault="00556141">
                              <w:r>
                                <w:t>45.45</w:t>
                              </w:r>
                            </w:p>
                          </w:tc>
                          <w:tc>
                            <w:tcPr>
                              <w:tcW w:w="0" w:type="auto"/>
                              <w:shd w:val="clear" w:color="auto" w:fill="FFFFFF"/>
                              <w:hideMark/>
                            </w:tcPr>
                            <w:p w14:paraId="78249723" w14:textId="77777777" w:rsidR="00556141" w:rsidRDefault="00556141">
                              <w:r>
                                <w:t>181.21</w:t>
                              </w:r>
                            </w:p>
                          </w:tc>
                        </w:tr>
                        <w:tr w:rsidR="00556141" w14:paraId="4271440E" w14:textId="77777777">
                          <w:trPr>
                            <w:tblCellSpacing w:w="7" w:type="dxa"/>
                          </w:trPr>
                          <w:tc>
                            <w:tcPr>
                              <w:tcW w:w="0" w:type="auto"/>
                              <w:shd w:val="clear" w:color="auto" w:fill="FFFFFF"/>
                              <w:hideMark/>
                            </w:tcPr>
                            <w:p w14:paraId="2781FAD0" w14:textId="77777777" w:rsidR="00556141" w:rsidRDefault="00556141">
                              <w:r>
                                <w:t>8.00</w:t>
                              </w:r>
                            </w:p>
                          </w:tc>
                          <w:tc>
                            <w:tcPr>
                              <w:tcW w:w="0" w:type="auto"/>
                              <w:shd w:val="clear" w:color="auto" w:fill="FFFFFF"/>
                              <w:hideMark/>
                            </w:tcPr>
                            <w:p w14:paraId="407FBCA7" w14:textId="77777777" w:rsidR="00556141" w:rsidRDefault="00556141">
                              <w:r>
                                <w:t>21.62</w:t>
                              </w:r>
                            </w:p>
                          </w:tc>
                          <w:tc>
                            <w:tcPr>
                              <w:tcW w:w="0" w:type="auto"/>
                              <w:shd w:val="clear" w:color="auto" w:fill="FFFFFF"/>
                              <w:hideMark/>
                            </w:tcPr>
                            <w:p w14:paraId="7F752A41" w14:textId="77777777" w:rsidR="00556141" w:rsidRDefault="00556141">
                              <w:r>
                                <w:t>168.28</w:t>
                              </w:r>
                            </w:p>
                          </w:tc>
                          <w:tc>
                            <w:tcPr>
                              <w:tcW w:w="0" w:type="auto"/>
                              <w:shd w:val="clear" w:color="auto" w:fill="FFFFFF"/>
                              <w:hideMark/>
                            </w:tcPr>
                            <w:p w14:paraId="4CE30CC7" w14:textId="77777777" w:rsidR="00556141" w:rsidRDefault="00556141">
                              <w:r>
                                <w:t>43.69</w:t>
                              </w:r>
                            </w:p>
                          </w:tc>
                          <w:tc>
                            <w:tcPr>
                              <w:tcW w:w="0" w:type="auto"/>
                              <w:shd w:val="clear" w:color="auto" w:fill="FFFFFF"/>
                              <w:hideMark/>
                            </w:tcPr>
                            <w:p w14:paraId="3D6E103A" w14:textId="77777777" w:rsidR="00556141" w:rsidRDefault="00556141">
                              <w:r>
                                <w:t>181.29</w:t>
                              </w:r>
                            </w:p>
                          </w:tc>
                        </w:tr>
                        <w:tr w:rsidR="00556141" w14:paraId="061649E5" w14:textId="77777777">
                          <w:trPr>
                            <w:tblCellSpacing w:w="7" w:type="dxa"/>
                          </w:trPr>
                          <w:tc>
                            <w:tcPr>
                              <w:tcW w:w="0" w:type="auto"/>
                              <w:shd w:val="clear" w:color="auto" w:fill="FFFFFF"/>
                              <w:hideMark/>
                            </w:tcPr>
                            <w:p w14:paraId="0E4CB5C4" w14:textId="77777777" w:rsidR="00556141" w:rsidRDefault="00556141">
                              <w:r>
                                <w:t>9.00</w:t>
                              </w:r>
                            </w:p>
                          </w:tc>
                          <w:tc>
                            <w:tcPr>
                              <w:tcW w:w="0" w:type="auto"/>
                              <w:shd w:val="clear" w:color="auto" w:fill="FFFFFF"/>
                              <w:hideMark/>
                            </w:tcPr>
                            <w:p w14:paraId="2FE5CA2A" w14:textId="77777777" w:rsidR="00556141" w:rsidRDefault="00556141">
                              <w:r>
                                <w:t>21.21</w:t>
                              </w:r>
                            </w:p>
                          </w:tc>
                          <w:tc>
                            <w:tcPr>
                              <w:tcW w:w="0" w:type="auto"/>
                              <w:shd w:val="clear" w:color="auto" w:fill="FFFFFF"/>
                              <w:hideMark/>
                            </w:tcPr>
                            <w:p w14:paraId="1D897C4F" w14:textId="77777777" w:rsidR="00556141" w:rsidRDefault="00556141">
                              <w:r>
                                <w:t>165.12</w:t>
                              </w:r>
                            </w:p>
                          </w:tc>
                          <w:tc>
                            <w:tcPr>
                              <w:tcW w:w="0" w:type="auto"/>
                              <w:shd w:val="clear" w:color="auto" w:fill="FFFFFF"/>
                              <w:hideMark/>
                            </w:tcPr>
                            <w:p w14:paraId="3E72AE61" w14:textId="77777777" w:rsidR="00556141" w:rsidRDefault="00556141">
                              <w:r>
                                <w:t>42.59</w:t>
                              </w:r>
                            </w:p>
                          </w:tc>
                          <w:tc>
                            <w:tcPr>
                              <w:tcW w:w="0" w:type="auto"/>
                              <w:shd w:val="clear" w:color="auto" w:fill="FFFFFF"/>
                              <w:hideMark/>
                            </w:tcPr>
                            <w:p w14:paraId="5098843F" w14:textId="77777777" w:rsidR="00556141" w:rsidRDefault="00556141">
                              <w:r>
                                <w:t>180.77</w:t>
                              </w:r>
                            </w:p>
                          </w:tc>
                        </w:tr>
                        <w:tr w:rsidR="00556141" w14:paraId="48AC1F6C" w14:textId="77777777">
                          <w:trPr>
                            <w:tblCellSpacing w:w="7" w:type="dxa"/>
                          </w:trPr>
                          <w:tc>
                            <w:tcPr>
                              <w:tcW w:w="0" w:type="auto"/>
                              <w:shd w:val="clear" w:color="auto" w:fill="FFFFFF"/>
                              <w:hideMark/>
                            </w:tcPr>
                            <w:p w14:paraId="201D83FA" w14:textId="77777777" w:rsidR="00556141" w:rsidRDefault="00556141">
                              <w:r>
                                <w:t>10.00</w:t>
                              </w:r>
                            </w:p>
                          </w:tc>
                          <w:tc>
                            <w:tcPr>
                              <w:tcW w:w="0" w:type="auto"/>
                              <w:shd w:val="clear" w:color="auto" w:fill="FFFFFF"/>
                              <w:hideMark/>
                            </w:tcPr>
                            <w:p w14:paraId="275CC0A0" w14:textId="77777777" w:rsidR="00556141" w:rsidRDefault="00556141">
                              <w:r>
                                <w:t>20.81</w:t>
                              </w:r>
                            </w:p>
                          </w:tc>
                          <w:tc>
                            <w:tcPr>
                              <w:tcW w:w="0" w:type="auto"/>
                              <w:shd w:val="clear" w:color="auto" w:fill="FFFFFF"/>
                              <w:hideMark/>
                            </w:tcPr>
                            <w:p w14:paraId="2C567372" w14:textId="77777777" w:rsidR="00556141" w:rsidRDefault="00556141">
                              <w:r>
                                <w:t>162.01</w:t>
                              </w:r>
                            </w:p>
                          </w:tc>
                          <w:tc>
                            <w:tcPr>
                              <w:tcW w:w="0" w:type="auto"/>
                              <w:shd w:val="clear" w:color="auto" w:fill="FFFFFF"/>
                              <w:hideMark/>
                            </w:tcPr>
                            <w:p w14:paraId="0B97B489" w14:textId="77777777" w:rsidR="00556141" w:rsidRDefault="00556141">
                              <w:r>
                                <w:t>41.85</w:t>
                              </w:r>
                            </w:p>
                          </w:tc>
                          <w:tc>
                            <w:tcPr>
                              <w:tcW w:w="0" w:type="auto"/>
                              <w:shd w:val="clear" w:color="auto" w:fill="FFFFFF"/>
                              <w:hideMark/>
                            </w:tcPr>
                            <w:p w14:paraId="55F59042" w14:textId="77777777" w:rsidR="00556141" w:rsidRDefault="00556141">
                              <w:r>
                                <w:t>179.92</w:t>
                              </w:r>
                            </w:p>
                          </w:tc>
                        </w:tr>
                        <w:tr w:rsidR="00556141" w14:paraId="457B9607" w14:textId="77777777">
                          <w:trPr>
                            <w:tblCellSpacing w:w="7" w:type="dxa"/>
                          </w:trPr>
                          <w:tc>
                            <w:tcPr>
                              <w:tcW w:w="0" w:type="auto"/>
                              <w:shd w:val="clear" w:color="auto" w:fill="FFFFFF"/>
                              <w:hideMark/>
                            </w:tcPr>
                            <w:p w14:paraId="0E3E5E36" w14:textId="77777777" w:rsidR="00556141" w:rsidRDefault="00556141">
                              <w:r>
                                <w:t>11.00</w:t>
                              </w:r>
                            </w:p>
                          </w:tc>
                          <w:tc>
                            <w:tcPr>
                              <w:tcW w:w="0" w:type="auto"/>
                              <w:shd w:val="clear" w:color="auto" w:fill="FFFFFF"/>
                              <w:hideMark/>
                            </w:tcPr>
                            <w:p w14:paraId="09B0E748" w14:textId="77777777" w:rsidR="00556141" w:rsidRDefault="00556141">
                              <w:r>
                                <w:t>20.42</w:t>
                              </w:r>
                            </w:p>
                          </w:tc>
                          <w:tc>
                            <w:tcPr>
                              <w:tcW w:w="0" w:type="auto"/>
                              <w:shd w:val="clear" w:color="auto" w:fill="FFFFFF"/>
                              <w:hideMark/>
                            </w:tcPr>
                            <w:p w14:paraId="62A56855" w14:textId="77777777" w:rsidR="00556141" w:rsidRDefault="00556141">
                              <w:r>
                                <w:t>158.96</w:t>
                              </w:r>
                            </w:p>
                          </w:tc>
                          <w:tc>
                            <w:tcPr>
                              <w:tcW w:w="0" w:type="auto"/>
                              <w:shd w:val="clear" w:color="auto" w:fill="FFFFFF"/>
                              <w:hideMark/>
                            </w:tcPr>
                            <w:p w14:paraId="7EA0610A" w14:textId="77777777" w:rsidR="00556141" w:rsidRDefault="00556141">
                              <w:r>
                                <w:t>41.32</w:t>
                              </w:r>
                            </w:p>
                          </w:tc>
                          <w:tc>
                            <w:tcPr>
                              <w:tcW w:w="0" w:type="auto"/>
                              <w:shd w:val="clear" w:color="auto" w:fill="FFFFFF"/>
                              <w:hideMark/>
                            </w:tcPr>
                            <w:p w14:paraId="69B7A681" w14:textId="77777777" w:rsidR="00556141" w:rsidRDefault="00556141">
                              <w:r>
                                <w:t>178.89</w:t>
                              </w:r>
                            </w:p>
                          </w:tc>
                        </w:tr>
                        <w:tr w:rsidR="00556141" w14:paraId="051E2A09" w14:textId="77777777">
                          <w:trPr>
                            <w:tblCellSpacing w:w="7" w:type="dxa"/>
                          </w:trPr>
                          <w:tc>
                            <w:tcPr>
                              <w:tcW w:w="0" w:type="auto"/>
                              <w:shd w:val="clear" w:color="auto" w:fill="FFFFFF"/>
                              <w:hideMark/>
                            </w:tcPr>
                            <w:p w14:paraId="31376B5A" w14:textId="77777777" w:rsidR="00556141" w:rsidRDefault="00556141">
                              <w:r>
                                <w:t>12.00</w:t>
                              </w:r>
                            </w:p>
                          </w:tc>
                          <w:tc>
                            <w:tcPr>
                              <w:tcW w:w="0" w:type="auto"/>
                              <w:shd w:val="clear" w:color="auto" w:fill="FFFFFF"/>
                              <w:hideMark/>
                            </w:tcPr>
                            <w:p w14:paraId="361E293F" w14:textId="77777777" w:rsidR="00556141" w:rsidRDefault="00556141">
                              <w:r>
                                <w:t>20.03</w:t>
                              </w:r>
                            </w:p>
                          </w:tc>
                          <w:tc>
                            <w:tcPr>
                              <w:tcW w:w="0" w:type="auto"/>
                              <w:shd w:val="clear" w:color="auto" w:fill="FFFFFF"/>
                              <w:hideMark/>
                            </w:tcPr>
                            <w:p w14:paraId="3E212FA7" w14:textId="77777777" w:rsidR="00556141" w:rsidRDefault="00556141">
                              <w:r>
                                <w:t>155.97</w:t>
                              </w:r>
                            </w:p>
                          </w:tc>
                          <w:tc>
                            <w:tcPr>
                              <w:tcW w:w="0" w:type="auto"/>
                              <w:shd w:val="clear" w:color="auto" w:fill="FFFFFF"/>
                              <w:hideMark/>
                            </w:tcPr>
                            <w:p w14:paraId="1A2DE460" w14:textId="77777777" w:rsidR="00556141" w:rsidRDefault="00556141">
                              <w:r>
                                <w:t>40.89</w:t>
                              </w:r>
                            </w:p>
                          </w:tc>
                          <w:tc>
                            <w:tcPr>
                              <w:tcW w:w="0" w:type="auto"/>
                              <w:shd w:val="clear" w:color="auto" w:fill="FFFFFF"/>
                              <w:hideMark/>
                            </w:tcPr>
                            <w:p w14:paraId="6D9EEE05" w14:textId="77777777" w:rsidR="00556141" w:rsidRDefault="00556141">
                              <w:r>
                                <w:t>177.77</w:t>
                              </w:r>
                            </w:p>
                          </w:tc>
                        </w:tr>
                        <w:tr w:rsidR="00556141" w14:paraId="264A2956" w14:textId="77777777">
                          <w:trPr>
                            <w:tblCellSpacing w:w="7" w:type="dxa"/>
                          </w:trPr>
                          <w:tc>
                            <w:tcPr>
                              <w:tcW w:w="0" w:type="auto"/>
                              <w:shd w:val="clear" w:color="auto" w:fill="FFFFFF"/>
                              <w:hideMark/>
                            </w:tcPr>
                            <w:p w14:paraId="713F4441" w14:textId="77777777" w:rsidR="00556141" w:rsidRDefault="00556141">
                              <w:r>
                                <w:t>13.00</w:t>
                              </w:r>
                            </w:p>
                          </w:tc>
                          <w:tc>
                            <w:tcPr>
                              <w:tcW w:w="0" w:type="auto"/>
                              <w:shd w:val="clear" w:color="auto" w:fill="FFFFFF"/>
                              <w:hideMark/>
                            </w:tcPr>
                            <w:p w14:paraId="232A592B" w14:textId="77777777" w:rsidR="00556141" w:rsidRDefault="00556141">
                              <w:r>
                                <w:t>19.65</w:t>
                              </w:r>
                            </w:p>
                          </w:tc>
                          <w:tc>
                            <w:tcPr>
                              <w:tcW w:w="0" w:type="auto"/>
                              <w:shd w:val="clear" w:color="auto" w:fill="FFFFFF"/>
                              <w:hideMark/>
                            </w:tcPr>
                            <w:p w14:paraId="2AAB7B4C" w14:textId="77777777" w:rsidR="00556141" w:rsidRDefault="00556141">
                              <w:r>
                                <w:t>153.04</w:t>
                              </w:r>
                            </w:p>
                          </w:tc>
                          <w:tc>
                            <w:tcPr>
                              <w:tcW w:w="0" w:type="auto"/>
                              <w:shd w:val="clear" w:color="auto" w:fill="FFFFFF"/>
                              <w:hideMark/>
                            </w:tcPr>
                            <w:p w14:paraId="0FA5E0B0" w14:textId="77777777" w:rsidR="00556141" w:rsidRDefault="00556141">
                              <w:r>
                                <w:t>40.53</w:t>
                              </w:r>
                            </w:p>
                          </w:tc>
                          <w:tc>
                            <w:tcPr>
                              <w:tcW w:w="0" w:type="auto"/>
                              <w:shd w:val="clear" w:color="auto" w:fill="FFFFFF"/>
                              <w:hideMark/>
                            </w:tcPr>
                            <w:p w14:paraId="69A97DC0" w14:textId="77777777" w:rsidR="00556141" w:rsidRDefault="00556141">
                              <w:r>
                                <w:t>176.60</w:t>
                              </w:r>
                            </w:p>
                          </w:tc>
                        </w:tr>
                        <w:tr w:rsidR="00556141" w14:paraId="74E7927D" w14:textId="77777777">
                          <w:trPr>
                            <w:tblCellSpacing w:w="7" w:type="dxa"/>
                          </w:trPr>
                          <w:tc>
                            <w:tcPr>
                              <w:tcW w:w="0" w:type="auto"/>
                              <w:shd w:val="clear" w:color="auto" w:fill="FFFFFF"/>
                              <w:hideMark/>
                            </w:tcPr>
                            <w:p w14:paraId="06208204" w14:textId="77777777" w:rsidR="00556141" w:rsidRDefault="00556141">
                              <w:r>
                                <w:t>16.00</w:t>
                              </w:r>
                            </w:p>
                          </w:tc>
                          <w:tc>
                            <w:tcPr>
                              <w:tcW w:w="0" w:type="auto"/>
                              <w:shd w:val="clear" w:color="auto" w:fill="FFFFFF"/>
                              <w:hideMark/>
                            </w:tcPr>
                            <w:p w14:paraId="282888A7" w14:textId="77777777" w:rsidR="00556141" w:rsidRDefault="00556141">
                              <w:r>
                                <w:t>18.57</w:t>
                              </w:r>
                            </w:p>
                          </w:tc>
                          <w:tc>
                            <w:tcPr>
                              <w:tcW w:w="0" w:type="auto"/>
                              <w:shd w:val="clear" w:color="auto" w:fill="FFFFFF"/>
                              <w:hideMark/>
                            </w:tcPr>
                            <w:p w14:paraId="360F4729" w14:textId="77777777" w:rsidR="00556141" w:rsidRDefault="00556141">
                              <w:r>
                                <w:t>144.56</w:t>
                              </w:r>
                            </w:p>
                          </w:tc>
                          <w:tc>
                            <w:tcPr>
                              <w:tcW w:w="0" w:type="auto"/>
                              <w:shd w:val="clear" w:color="auto" w:fill="FFFFFF"/>
                              <w:hideMark/>
                            </w:tcPr>
                            <w:p w14:paraId="0329B73B" w14:textId="77777777" w:rsidR="00556141" w:rsidRDefault="00556141">
                              <w:r>
                                <w:t>39.62</w:t>
                              </w:r>
                            </w:p>
                          </w:tc>
                          <w:tc>
                            <w:tcPr>
                              <w:tcW w:w="0" w:type="auto"/>
                              <w:shd w:val="clear" w:color="auto" w:fill="FFFFFF"/>
                              <w:hideMark/>
                            </w:tcPr>
                            <w:p w14:paraId="726702E9" w14:textId="77777777" w:rsidR="00556141" w:rsidRDefault="00556141">
                              <w:r>
                                <w:t>173.00</w:t>
                              </w:r>
                            </w:p>
                          </w:tc>
                        </w:tr>
                        <w:tr w:rsidR="00556141" w14:paraId="3739325A" w14:textId="77777777">
                          <w:trPr>
                            <w:tblCellSpacing w:w="7" w:type="dxa"/>
                          </w:trPr>
                          <w:tc>
                            <w:tcPr>
                              <w:tcW w:w="0" w:type="auto"/>
                              <w:shd w:val="clear" w:color="auto" w:fill="FFFFFF"/>
                              <w:hideMark/>
                            </w:tcPr>
                            <w:p w14:paraId="72EBC144" w14:textId="77777777" w:rsidR="00556141" w:rsidRDefault="00556141">
                              <w:r>
                                <w:t>24.00</w:t>
                              </w:r>
                            </w:p>
                          </w:tc>
                          <w:tc>
                            <w:tcPr>
                              <w:tcW w:w="0" w:type="auto"/>
                              <w:shd w:val="clear" w:color="auto" w:fill="FFFFFF"/>
                              <w:hideMark/>
                            </w:tcPr>
                            <w:p w14:paraId="59623148" w14:textId="77777777" w:rsidR="00556141" w:rsidRDefault="00556141">
                              <w:r>
                                <w:t>15.95</w:t>
                              </w:r>
                            </w:p>
                          </w:tc>
                          <w:tc>
                            <w:tcPr>
                              <w:tcW w:w="0" w:type="auto"/>
                              <w:shd w:val="clear" w:color="auto" w:fill="FFFFFF"/>
                              <w:hideMark/>
                            </w:tcPr>
                            <w:p w14:paraId="2709806F" w14:textId="77777777" w:rsidR="00556141" w:rsidRDefault="00556141">
                              <w:r>
                                <w:t>124.17</w:t>
                              </w:r>
                            </w:p>
                          </w:tc>
                          <w:tc>
                            <w:tcPr>
                              <w:tcW w:w="0" w:type="auto"/>
                              <w:shd w:val="clear" w:color="auto" w:fill="FFFFFF"/>
                              <w:hideMark/>
                            </w:tcPr>
                            <w:p w14:paraId="3290DDAB" w14:textId="77777777" w:rsidR="00556141" w:rsidRDefault="00556141">
                              <w:r>
                                <w:t>37.44</w:t>
                              </w:r>
                            </w:p>
                          </w:tc>
                          <w:tc>
                            <w:tcPr>
                              <w:tcW w:w="0" w:type="auto"/>
                              <w:shd w:val="clear" w:color="auto" w:fill="FFFFFF"/>
                              <w:hideMark/>
                            </w:tcPr>
                            <w:p w14:paraId="7A94BD90" w14:textId="77777777" w:rsidR="00556141" w:rsidRDefault="00556141">
                              <w:r>
                                <w:t>163.59</w:t>
                              </w:r>
                            </w:p>
                          </w:tc>
                        </w:tr>
                      </w:tbl>
                      <w:p w14:paraId="284D760C" w14:textId="77777777" w:rsidR="00556141" w:rsidRDefault="00556141"/>
                    </w:tc>
                  </w:tr>
                  <w:tr w:rsidR="00556141" w14:paraId="25B1F8F0" w14:textId="77777777">
                    <w:trPr>
                      <w:tblCellSpacing w:w="0" w:type="dxa"/>
                    </w:trPr>
                    <w:tc>
                      <w:tcPr>
                        <w:tcW w:w="0" w:type="auto"/>
                        <w:shd w:val="clear" w:color="auto" w:fill="FFFFFF"/>
                        <w:vAlign w:val="center"/>
                        <w:hideMark/>
                      </w:tcPr>
                      <w:p w14:paraId="7748B4BF" w14:textId="77777777" w:rsidR="00556141" w:rsidRDefault="00556141">
                        <w:pPr>
                          <w:rPr>
                            <w:sz w:val="24"/>
                            <w:szCs w:val="24"/>
                          </w:rPr>
                        </w:pPr>
                        <w:bookmarkStart w:id="71" w:name="2486264"/>
                        <w:bookmarkEnd w:id="71"/>
                      </w:p>
                      <w:p w14:paraId="3B4AE9E4" w14:textId="77777777" w:rsidR="00556141" w:rsidRDefault="00556141">
                        <w:pPr>
                          <w:pStyle w:val="font12"/>
                        </w:pPr>
                        <w:r>
                          <w:rPr>
                            <w:vertAlign w:val="superscript"/>
                          </w:rPr>
                          <w:t>a</w:t>
                        </w:r>
                        <w:r>
                          <w:rPr>
                            <w:i/>
                            <w:iCs/>
                          </w:rPr>
                          <w:t>D</w:t>
                        </w:r>
                        <w:r>
                          <w:t xml:space="preserve"> </w:t>
                        </w:r>
                        <w:r>
                          <w:rPr>
                            <w:vertAlign w:val="subscript"/>
                          </w:rPr>
                          <w:t>p</w:t>
                        </w:r>
                        <w:r>
                          <w:t xml:space="preserve">, drug in plasma compartment; </w:t>
                        </w:r>
                        <w:r>
                          <w:rPr>
                            <w:i/>
                            <w:iCs/>
                          </w:rPr>
                          <w:t>D</w:t>
                        </w:r>
                        <w:r>
                          <w:t xml:space="preserve"> </w:t>
                        </w:r>
                        <w:r>
                          <w:rPr>
                            <w:vertAlign w:val="subscript"/>
                          </w:rPr>
                          <w:t>t</w:t>
                        </w:r>
                        <w:r>
                          <w:t>, drug in tissue compartment.</w:t>
                        </w:r>
                      </w:p>
                      <w:p w14:paraId="43FB95E3" w14:textId="77777777" w:rsidR="00556141" w:rsidRDefault="00556141">
                        <w:pPr>
                          <w:pStyle w:val="font12"/>
                        </w:pPr>
                        <w:bookmarkStart w:id="72" w:name="2486265"/>
                        <w:bookmarkEnd w:id="72"/>
                        <w:r>
                          <w:t>Source: Data generated from parameters published by .</w:t>
                        </w:r>
                      </w:p>
                    </w:tc>
                  </w:tr>
                </w:tbl>
                <w:p w14:paraId="37A7D000" w14:textId="77777777" w:rsidR="00556141" w:rsidRDefault="00556141">
                  <w:pPr>
                    <w:rPr>
                      <w:vanish/>
                    </w:rPr>
                  </w:pPr>
                  <w:bookmarkStart w:id="73" w:name="2486279"/>
                  <w:bookmarkEnd w:id="73"/>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674689BB"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31B69D04" w14:textId="77777777">
                          <w:trPr>
                            <w:tblCellSpacing w:w="7" w:type="dxa"/>
                          </w:trPr>
                          <w:tc>
                            <w:tcPr>
                              <w:tcW w:w="0" w:type="auto"/>
                              <w:shd w:val="clear" w:color="auto" w:fill="CCCCCC"/>
                              <w:vAlign w:val="center"/>
                              <w:hideMark/>
                            </w:tcPr>
                            <w:p w14:paraId="3BE36E69" w14:textId="77777777" w:rsidR="00556141" w:rsidRDefault="00556141">
                              <w:pPr>
                                <w:pStyle w:val="tabletitle"/>
                              </w:pPr>
                              <w:r>
                                <w:t>Figure 4-5.</w:t>
                              </w:r>
                            </w:p>
                            <w:p w14:paraId="1F0F86E4" w14:textId="77777777" w:rsidR="00556141" w:rsidRDefault="00556141"/>
                          </w:tc>
                        </w:tr>
                      </w:tbl>
                      <w:p w14:paraId="45B2612B" w14:textId="77777777" w:rsidR="00556141" w:rsidRDefault="00556141"/>
                    </w:tc>
                  </w:tr>
                  <w:tr w:rsidR="00556141" w14:paraId="188B684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6FABD7A9" w14:textId="77777777">
                          <w:trPr>
                            <w:tblCellSpacing w:w="7" w:type="dxa"/>
                          </w:trPr>
                          <w:tc>
                            <w:tcPr>
                              <w:tcW w:w="0" w:type="auto"/>
                              <w:shd w:val="clear" w:color="auto" w:fill="FFFFFF"/>
                              <w:vAlign w:val="center"/>
                              <w:hideMark/>
                            </w:tcPr>
                            <w:p w14:paraId="181EC658" w14:textId="3724D32E" w:rsidR="00556141" w:rsidRDefault="00556141">
                              <w:pPr>
                                <w:jc w:val="center"/>
                                <w:rPr>
                                  <w:sz w:val="24"/>
                                  <w:szCs w:val="24"/>
                                </w:rPr>
                              </w:pPr>
                              <w:r>
                                <w:rPr>
                                  <w:noProof/>
                                </w:rPr>
                                <w:lastRenderedPageBreak/>
                                <mc:AlternateContent>
                                  <mc:Choice Requires="wps">
                                    <w:drawing>
                                      <wp:inline distT="0" distB="0" distL="0" distR="0" wp14:anchorId="65BB261F" wp14:editId="079D4320">
                                        <wp:extent cx="304800" cy="304800"/>
                                        <wp:effectExtent l="0" t="0" r="0" b="0"/>
                                        <wp:docPr id="1079576054"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B350E"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1C3F7E62" w14:textId="77777777">
                          <w:trPr>
                            <w:tblCellSpacing w:w="7" w:type="dxa"/>
                          </w:trPr>
                          <w:tc>
                            <w:tcPr>
                              <w:tcW w:w="0" w:type="auto"/>
                              <w:shd w:val="clear" w:color="auto" w:fill="FFFFFF"/>
                              <w:vAlign w:val="center"/>
                              <w:hideMark/>
                            </w:tcPr>
                            <w:p w14:paraId="2E7D695A" w14:textId="77777777" w:rsidR="00556141" w:rsidRDefault="00556141">
                              <w:pPr>
                                <w:pStyle w:val="font11"/>
                              </w:pPr>
                              <w:bookmarkStart w:id="74" w:name="2486280"/>
                              <w:bookmarkEnd w:id="74"/>
                              <w:r>
                                <w:t>Amount of digoxin (simulated) in plasma and tissue compartment after an IV dose to a normal and a renal-failure (RF) patient.</w:t>
                              </w:r>
                            </w:p>
                          </w:tc>
                        </w:tr>
                      </w:tbl>
                      <w:p w14:paraId="4AE04387" w14:textId="77777777" w:rsidR="00556141" w:rsidRDefault="00556141"/>
                    </w:tc>
                  </w:tr>
                </w:tbl>
                <w:p w14:paraId="372C94FB" w14:textId="77777777" w:rsidR="00556141" w:rsidRDefault="00556141">
                  <w:pPr>
                    <w:pStyle w:val="contentbody"/>
                  </w:pPr>
                  <w:bookmarkStart w:id="75" w:name="2486099"/>
                  <w:bookmarkEnd w:id="75"/>
                  <w:r>
                    <w:t>Although some clinicians assume that tissue and plasma concentrations are equal when at full equilibration, tissue and plasma drug ratios are determined by the partition coefficient (a drug-specific physical ratio that measures the lipid/water affinity of a drug) and the extent of protein binding of the drug. shows that the time for the RF (renal failure or renal impaired) patient to reach stable tissue drug levels is longer than the time for the normal subject due to changes in the elimination and transfer rate constants. As expected, a significantly higher amount of digoxin remains in both the plasma and tissue compartment in the renally impaired subject compared to the normal subject.</w:t>
                  </w:r>
                </w:p>
                <w:p w14:paraId="445C4091" w14:textId="77777777" w:rsidR="00556141" w:rsidRDefault="00556141">
                  <w:pPr>
                    <w:pStyle w:val="contenthead3"/>
                  </w:pPr>
                  <w:bookmarkStart w:id="76" w:name="2486100"/>
                  <w:bookmarkEnd w:id="76"/>
                  <w:r>
                    <w:t>Practice Problem</w:t>
                  </w:r>
                </w:p>
                <w:p w14:paraId="2225DD49" w14:textId="77777777" w:rsidR="00556141" w:rsidRDefault="00556141">
                  <w:pPr>
                    <w:pStyle w:val="contentbody"/>
                  </w:pPr>
                  <w:bookmarkStart w:id="77" w:name="2486101"/>
                  <w:bookmarkEnd w:id="77"/>
                  <w:r>
                    <w:t>From or , how many hours does it take for maximum tissue concentration to be reached in the normal and the renal-impaired patient?</w:t>
                  </w:r>
                </w:p>
                <w:p w14:paraId="21A6EE7F" w14:textId="77777777" w:rsidR="00556141" w:rsidRDefault="00556141">
                  <w:pPr>
                    <w:pStyle w:val="contentbody"/>
                  </w:pPr>
                  <w:bookmarkStart w:id="78" w:name="2486102"/>
                  <w:bookmarkEnd w:id="78"/>
                  <w:r>
                    <w:rPr>
                      <w:b/>
                      <w:bCs/>
                    </w:rPr>
                    <w:t>Solution</w:t>
                  </w:r>
                  <w:r>
                    <w:t xml:space="preserve"> </w:t>
                  </w:r>
                </w:p>
                <w:p w14:paraId="1C1841B9" w14:textId="77777777" w:rsidR="00556141" w:rsidRDefault="00556141">
                  <w:pPr>
                    <w:pStyle w:val="contentbody"/>
                  </w:pPr>
                  <w:bookmarkStart w:id="79" w:name="2486103"/>
                  <w:bookmarkEnd w:id="79"/>
                  <w:r>
                    <w:t xml:space="preserve">At maximum tissue concentration, the rate of drug entering the tissue compartment is equal to the rate leaving (ie, at the peak of the tissue curve, where the slope = 0 or not changing). This occurs at about 3–4 hours for the normal patient and at 7–8 hours for the renal-impaired patient. This may be verified by examining at what time </w:t>
                  </w:r>
                  <w:r>
                    <w:rPr>
                      <w:i/>
                      <w:iCs/>
                    </w:rPr>
                    <w:t>D</w:t>
                  </w:r>
                  <w:r>
                    <w:t xml:space="preserve"> </w:t>
                  </w:r>
                  <w:r>
                    <w:rPr>
                      <w:vertAlign w:val="subscript"/>
                    </w:rPr>
                    <w:t>p</w:t>
                  </w:r>
                  <w:r>
                    <w:rPr>
                      <w:i/>
                      <w:iCs/>
                    </w:rPr>
                    <w:t>k</w:t>
                  </w:r>
                  <w:r>
                    <w:t xml:space="preserve"> </w:t>
                  </w:r>
                  <w:r>
                    <w:rPr>
                      <w:vertAlign w:val="subscript"/>
                    </w:rPr>
                    <w:t>12</w:t>
                  </w:r>
                  <w:r>
                    <w:t xml:space="preserve"> = </w:t>
                  </w:r>
                  <w:r>
                    <w:rPr>
                      <w:i/>
                      <w:iCs/>
                    </w:rPr>
                    <w:t>D</w:t>
                  </w:r>
                  <w:r>
                    <w:t xml:space="preserve"> </w:t>
                  </w:r>
                  <w:r>
                    <w:rPr>
                      <w:vertAlign w:val="subscript"/>
                    </w:rPr>
                    <w:t>t</w:t>
                  </w:r>
                  <w:r>
                    <w:rPr>
                      <w:i/>
                      <w:iCs/>
                    </w:rPr>
                    <w:t>k</w:t>
                  </w:r>
                  <w:r>
                    <w:t xml:space="preserve"> </w:t>
                  </w:r>
                  <w:r>
                    <w:rPr>
                      <w:vertAlign w:val="subscript"/>
                    </w:rPr>
                    <w:t>21</w:t>
                  </w:r>
                  <w:r>
                    <w:t xml:space="preserve"> using the data from and . Before maximum </w:t>
                  </w:r>
                  <w:r>
                    <w:rPr>
                      <w:i/>
                      <w:iCs/>
                    </w:rPr>
                    <w:t>C</w:t>
                  </w:r>
                  <w:r>
                    <w:t xml:space="preserve"> </w:t>
                  </w:r>
                  <w:r>
                    <w:rPr>
                      <w:vertAlign w:val="subscript"/>
                    </w:rPr>
                    <w:t>t</w:t>
                  </w:r>
                  <w:r>
                    <w:t xml:space="preserve"> is reached, there is a net flux of drug into the tissue, ie, </w:t>
                  </w:r>
                  <w:r>
                    <w:rPr>
                      <w:i/>
                      <w:iCs/>
                    </w:rPr>
                    <w:t>D</w:t>
                  </w:r>
                  <w:r>
                    <w:t xml:space="preserve"> </w:t>
                  </w:r>
                  <w:r>
                    <w:rPr>
                      <w:vertAlign w:val="subscript"/>
                    </w:rPr>
                    <w:t>p</w:t>
                  </w:r>
                  <w:r>
                    <w:rPr>
                      <w:i/>
                      <w:iCs/>
                    </w:rPr>
                    <w:t>k</w:t>
                  </w:r>
                  <w:r>
                    <w:t xml:space="preserve"> </w:t>
                  </w:r>
                  <w:r>
                    <w:rPr>
                      <w:vertAlign w:val="subscript"/>
                    </w:rPr>
                    <w:t>12</w:t>
                  </w:r>
                  <w:r>
                    <w:t xml:space="preserve"> &gt; </w:t>
                  </w:r>
                  <w:r>
                    <w:rPr>
                      <w:i/>
                      <w:iCs/>
                    </w:rPr>
                    <w:t>D</w:t>
                  </w:r>
                  <w:r>
                    <w:t xml:space="preserve"> </w:t>
                  </w:r>
                  <w:r>
                    <w:rPr>
                      <w:vertAlign w:val="subscript"/>
                    </w:rPr>
                    <w:t>t</w:t>
                  </w:r>
                  <w:r>
                    <w:rPr>
                      <w:i/>
                      <w:iCs/>
                    </w:rPr>
                    <w:t>k</w:t>
                  </w:r>
                  <w:r>
                    <w:t xml:space="preserve"> </w:t>
                  </w:r>
                  <w:r>
                    <w:rPr>
                      <w:vertAlign w:val="subscript"/>
                    </w:rPr>
                    <w:t>21</w:t>
                  </w:r>
                  <w:r>
                    <w:t xml:space="preserve">, and beyond this point, there is a net flux of drug out the tissue compartment, ie, </w:t>
                  </w:r>
                  <w:r>
                    <w:rPr>
                      <w:i/>
                      <w:iCs/>
                    </w:rPr>
                    <w:t>D</w:t>
                  </w:r>
                  <w:r>
                    <w:t xml:space="preserve"> </w:t>
                  </w:r>
                  <w:r>
                    <w:rPr>
                      <w:vertAlign w:val="subscript"/>
                    </w:rPr>
                    <w:t>t</w:t>
                  </w:r>
                  <w:r>
                    <w:rPr>
                      <w:i/>
                      <w:iCs/>
                    </w:rPr>
                    <w:t>k</w:t>
                  </w:r>
                  <w:r>
                    <w:t xml:space="preserve"> </w:t>
                  </w:r>
                  <w:r>
                    <w:rPr>
                      <w:vertAlign w:val="subscript"/>
                    </w:rPr>
                    <w:t>12</w:t>
                  </w:r>
                  <w:r>
                    <w:t xml:space="preserve"> &gt; </w:t>
                  </w:r>
                  <w:r>
                    <w:rPr>
                      <w:i/>
                      <w:iCs/>
                    </w:rPr>
                    <w:t>D</w:t>
                  </w:r>
                  <w:r>
                    <w:t xml:space="preserve"> </w:t>
                  </w:r>
                  <w:r>
                    <w:rPr>
                      <w:vertAlign w:val="subscript"/>
                    </w:rPr>
                    <w:t>p</w:t>
                  </w:r>
                  <w:r>
                    <w:rPr>
                      <w:i/>
                      <w:iCs/>
                    </w:rPr>
                    <w:t>k</w:t>
                  </w:r>
                  <w:r>
                    <w:t xml:space="preserve"> </w:t>
                  </w:r>
                  <w:r>
                    <w:rPr>
                      <w:vertAlign w:val="subscript"/>
                    </w:rPr>
                    <w:t>12</w:t>
                  </w:r>
                  <w:r>
                    <w:t>.</w:t>
                  </w:r>
                </w:p>
                <w:p w14:paraId="699E29E6" w14:textId="77777777" w:rsidR="00556141" w:rsidRDefault="00556141">
                  <w:pPr>
                    <w:pStyle w:val="contenthead2"/>
                  </w:pPr>
                  <w:bookmarkStart w:id="80" w:name="2486104"/>
                  <w:bookmarkEnd w:id="80"/>
                  <w:r>
                    <w:t>Apparent Volumes of Distribution</w:t>
                  </w:r>
                </w:p>
                <w:p w14:paraId="73BA58A2" w14:textId="77777777" w:rsidR="00556141" w:rsidRDefault="00556141">
                  <w:pPr>
                    <w:pStyle w:val="contentbody"/>
                  </w:pPr>
                  <w:bookmarkStart w:id="81" w:name="2486105"/>
                  <w:bookmarkEnd w:id="81"/>
                  <w:r>
                    <w:t xml:space="preserve">As discussed in , the apparent </w:t>
                  </w:r>
                  <w:r>
                    <w:rPr>
                      <w:i/>
                      <w:iCs/>
                    </w:rPr>
                    <w:t>V</w:t>
                  </w:r>
                  <w:r>
                    <w:t xml:space="preserve"> </w:t>
                  </w:r>
                  <w:r>
                    <w:rPr>
                      <w:vertAlign w:val="subscript"/>
                    </w:rPr>
                    <w:t>D</w:t>
                  </w:r>
                  <w:r>
                    <w:t xml:space="preserve"> is a useful parameter that relates plasma concentration to the amount of drug in the body. For drugs with large extravascular distribution, the apparent volume of distribution is generally large. Conversely, for polar drugs with low lipid solubility, the apparent </w:t>
                  </w:r>
                  <w:r>
                    <w:rPr>
                      <w:i/>
                      <w:iCs/>
                    </w:rPr>
                    <w:t>V</w:t>
                  </w:r>
                  <w:r>
                    <w:t xml:space="preserve"> </w:t>
                  </w:r>
                  <w:r>
                    <w:rPr>
                      <w:vertAlign w:val="subscript"/>
                    </w:rPr>
                    <w:t>D</w:t>
                  </w:r>
                  <w:r>
                    <w:t xml:space="preserve"> is generally small. Drugs with high peripheral tissue binding also contribute to a large apparent </w:t>
                  </w:r>
                  <w:r>
                    <w:rPr>
                      <w:i/>
                      <w:iCs/>
                    </w:rPr>
                    <w:t>V</w:t>
                  </w:r>
                  <w:r>
                    <w:t xml:space="preserve"> </w:t>
                  </w:r>
                  <w:r>
                    <w:rPr>
                      <w:vertAlign w:val="subscript"/>
                    </w:rPr>
                    <w:t>D</w:t>
                  </w:r>
                  <w:r>
                    <w:t>. In multiple-compartment kinetics, such as the two-compartment model, several volumes of distribution can be calculated. Volumes of distribution generally reflect the extent of drug distribution in the body on a relative basis, and the calculations depend on the availability of data. In general, it is important to refer to the same volume parameter when comparing kinetic changes in disease states. Unfortunately, values of apparent volumes of distribution of drugs from tables in the clinical literature are often listed without specifying the underlying kinetic processes, model parameter, or method of calculation.</w:t>
                  </w:r>
                </w:p>
                <w:p w14:paraId="4EE73743" w14:textId="77777777" w:rsidR="00556141" w:rsidRDefault="00556141">
                  <w:pPr>
                    <w:pStyle w:val="contenthead3"/>
                  </w:pPr>
                  <w:bookmarkStart w:id="82" w:name="2486106"/>
                  <w:bookmarkEnd w:id="82"/>
                  <w:r>
                    <w:t>Volume of the Central Compartment</w:t>
                  </w:r>
                </w:p>
                <w:p w14:paraId="173FDB49" w14:textId="77777777" w:rsidR="00556141" w:rsidRDefault="00556141">
                  <w:pPr>
                    <w:pStyle w:val="contentbody"/>
                  </w:pPr>
                  <w:bookmarkStart w:id="83" w:name="2486107"/>
                  <w:bookmarkEnd w:id="83"/>
                  <w:r>
                    <w:t xml:space="preserve">The volume of the central compartment is useful for determining the drug concentration directly after an IV injection into the body. In clinical pharmacy, this volume is also referred to as </w:t>
                  </w:r>
                  <w:r>
                    <w:rPr>
                      <w:i/>
                      <w:iCs/>
                    </w:rPr>
                    <w:t>V</w:t>
                  </w:r>
                  <w:r>
                    <w:t xml:space="preserve"> </w:t>
                  </w:r>
                  <w:r>
                    <w:rPr>
                      <w:vertAlign w:val="subscript"/>
                    </w:rPr>
                    <w:t>i</w:t>
                  </w:r>
                  <w:r>
                    <w:t xml:space="preserve"> or the initial volume of distribution as the drug distributes within the plasma and other accessible body fluids. This volume is generally smaller than the terminal volume of distribution after drug distribution to tissue is completed. The volume of the central compartment is generally greater than 3 L, which is the volume of the plasma fluid for an average adult. For many polar drugs, an initial volume of 7–10 L may be interpreted as rapid drug distribution within the plasma and some extracellular fluids. For example, the </w:t>
                  </w:r>
                  <w:r>
                    <w:rPr>
                      <w:i/>
                      <w:iCs/>
                    </w:rPr>
                    <w:t>V</w:t>
                  </w:r>
                  <w:r>
                    <w:t xml:space="preserve"> </w:t>
                  </w:r>
                  <w:r>
                    <w:rPr>
                      <w:vertAlign w:val="subscript"/>
                    </w:rPr>
                    <w:t>p</w:t>
                  </w:r>
                  <w:r>
                    <w:t xml:space="preserve"> of moxalactam ranges from 0.12 to 0.15 L/kg, corresponding to about 8.4 to 10.5 L for a typical 70-kg patient (). In contrast, </w:t>
                  </w:r>
                  <w:r>
                    <w:rPr>
                      <w:i/>
                      <w:iCs/>
                    </w:rPr>
                    <w:t>V</w:t>
                  </w:r>
                  <w:r>
                    <w:t xml:space="preserve"> </w:t>
                  </w:r>
                  <w:r>
                    <w:rPr>
                      <w:vertAlign w:val="subscript"/>
                    </w:rPr>
                    <w:t>p</w:t>
                  </w:r>
                  <w:r>
                    <w:t xml:space="preserve"> of hydromorphone is about 24 L, possibly because of its rapid exit from the plasma into tissues even during the initial phase.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83"/>
                  </w:tblGrid>
                  <w:tr w:rsidR="00556141" w14:paraId="75E1C374"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353"/>
                        </w:tblGrid>
                        <w:tr w:rsidR="00556141" w14:paraId="20323CF5" w14:textId="77777777">
                          <w:trPr>
                            <w:tblCellSpacing w:w="0" w:type="dxa"/>
                          </w:trPr>
                          <w:tc>
                            <w:tcPr>
                              <w:tcW w:w="0" w:type="auto"/>
                              <w:vAlign w:val="center"/>
                              <w:hideMark/>
                            </w:tcPr>
                            <w:p w14:paraId="07CC401D" w14:textId="77777777" w:rsidR="00556141" w:rsidRDefault="00556141">
                              <w:pPr>
                                <w:pStyle w:val="tabletitle"/>
                              </w:pPr>
                              <w:bookmarkStart w:id="84" w:name="2486266"/>
                              <w:bookmarkEnd w:id="84"/>
                              <w:r>
                                <w:lastRenderedPageBreak/>
                                <w:t>Table 4.6 Pharmacokinetic Parameters (Mean ± SD) of Moxalactam in Three Groups of Patients</w:t>
                              </w:r>
                            </w:p>
                            <w:p w14:paraId="41C43BAD" w14:textId="77777777" w:rsidR="00556141" w:rsidRDefault="00556141"/>
                          </w:tc>
                        </w:tr>
                      </w:tbl>
                      <w:p w14:paraId="42594611" w14:textId="77777777" w:rsidR="00556141" w:rsidRDefault="00556141"/>
                    </w:tc>
                  </w:tr>
                  <w:tr w:rsidR="00556141" w14:paraId="5E27EA87"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951"/>
                          <w:gridCol w:w="1746"/>
                          <w:gridCol w:w="1746"/>
                          <w:gridCol w:w="1437"/>
                          <w:gridCol w:w="1506"/>
                          <w:gridCol w:w="1997"/>
                        </w:tblGrid>
                        <w:tr w:rsidR="00556141" w14:paraId="5E62A001" w14:textId="77777777">
                          <w:trPr>
                            <w:tblHeader/>
                            <w:tblCellSpacing w:w="7" w:type="dxa"/>
                          </w:trPr>
                          <w:tc>
                            <w:tcPr>
                              <w:tcW w:w="0" w:type="auto"/>
                              <w:shd w:val="clear" w:color="auto" w:fill="FFFFFF"/>
                              <w:hideMark/>
                            </w:tcPr>
                            <w:p w14:paraId="71142BB4" w14:textId="77777777" w:rsidR="00556141" w:rsidRDefault="00556141">
                              <w:pPr>
                                <w:rPr>
                                  <w:b/>
                                  <w:bCs/>
                                  <w:sz w:val="24"/>
                                  <w:szCs w:val="24"/>
                                </w:rPr>
                              </w:pPr>
                              <w:r>
                                <w:rPr>
                                  <w:b/>
                                  <w:bCs/>
                                </w:rPr>
                                <w:t>Group</w:t>
                              </w:r>
                            </w:p>
                          </w:tc>
                          <w:tc>
                            <w:tcPr>
                              <w:tcW w:w="0" w:type="auto"/>
                              <w:shd w:val="clear" w:color="auto" w:fill="FFFFFF"/>
                              <w:hideMark/>
                            </w:tcPr>
                            <w:p w14:paraId="2DDD8E41" w14:textId="06ECC5F1" w:rsidR="00556141" w:rsidRDefault="00556141">
                              <w:pPr>
                                <w:rPr>
                                  <w:b/>
                                  <w:bCs/>
                                </w:rPr>
                              </w:pPr>
                              <w:r>
                                <w:rPr>
                                  <w:b/>
                                  <w:bCs/>
                                  <w:i/>
                                  <w:iCs/>
                                </w:rPr>
                                <w:t>A</w:t>
                              </w:r>
                              <w:r>
                                <w:rPr>
                                  <w:b/>
                                  <w:bCs/>
                                </w:rPr>
                                <w:t xml:space="preserve"> </w:t>
                              </w:r>
                              <w:r>
                                <w:rPr>
                                  <w:b/>
                                  <w:bCs/>
                                  <w:noProof/>
                                </w:rPr>
                                <mc:AlternateContent>
                                  <mc:Choice Requires="wps">
                                    <w:drawing>
                                      <wp:inline distT="0" distB="0" distL="0" distR="0" wp14:anchorId="57B25E55" wp14:editId="68184A71">
                                        <wp:extent cx="304800" cy="304800"/>
                                        <wp:effectExtent l="0" t="0" r="0" b="0"/>
                                        <wp:docPr id="1125875674"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D10BA"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 </w:t>
                              </w:r>
                            </w:p>
                          </w:tc>
                          <w:tc>
                            <w:tcPr>
                              <w:tcW w:w="0" w:type="auto"/>
                              <w:shd w:val="clear" w:color="auto" w:fill="FFFFFF"/>
                              <w:hideMark/>
                            </w:tcPr>
                            <w:p w14:paraId="27A722D0" w14:textId="5A78D6F3" w:rsidR="00556141" w:rsidRDefault="00556141">
                              <w:pPr>
                                <w:rPr>
                                  <w:b/>
                                  <w:bCs/>
                                </w:rPr>
                              </w:pPr>
                              <w:r>
                                <w:rPr>
                                  <w:b/>
                                  <w:bCs/>
                                  <w:i/>
                                  <w:iCs/>
                                </w:rPr>
                                <w:t>B</w:t>
                              </w:r>
                              <w:r>
                                <w:rPr>
                                  <w:b/>
                                  <w:bCs/>
                                </w:rPr>
                                <w:t xml:space="preserve"> </w:t>
                              </w:r>
                              <w:r>
                                <w:rPr>
                                  <w:b/>
                                  <w:bCs/>
                                  <w:noProof/>
                                </w:rPr>
                                <mc:AlternateContent>
                                  <mc:Choice Requires="wps">
                                    <w:drawing>
                                      <wp:inline distT="0" distB="0" distL="0" distR="0" wp14:anchorId="70D9D25F" wp14:editId="50C2C127">
                                        <wp:extent cx="304800" cy="304800"/>
                                        <wp:effectExtent l="0" t="0" r="0" b="0"/>
                                        <wp:docPr id="609712209"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52BFD"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 </w:t>
                              </w:r>
                            </w:p>
                          </w:tc>
                          <w:tc>
                            <w:tcPr>
                              <w:tcW w:w="0" w:type="auto"/>
                              <w:shd w:val="clear" w:color="auto" w:fill="FFFFFF"/>
                              <w:hideMark/>
                            </w:tcPr>
                            <w:p w14:paraId="51EF5F2D" w14:textId="77777777" w:rsidR="00556141" w:rsidRDefault="00556141">
                              <w:pPr>
                                <w:rPr>
                                  <w:b/>
                                  <w:bCs/>
                                </w:rPr>
                              </w:pPr>
                              <w:r>
                                <w:rPr>
                                  <w:b/>
                                  <w:bCs/>
                                  <w:i/>
                                  <w:iCs/>
                                </w:rPr>
                                <w:t>a</w:t>
                              </w:r>
                              <w:r>
                                <w:rPr>
                                  <w:b/>
                                  <w:bCs/>
                                </w:rPr>
                                <w:t xml:space="preserve"> hr</w:t>
                              </w:r>
                              <w:r>
                                <w:rPr>
                                  <w:b/>
                                  <w:bCs/>
                                  <w:vertAlign w:val="superscript"/>
                                </w:rPr>
                                <w:t>–</w:t>
                              </w:r>
                              <w:r>
                                <w:rPr>
                                  <w:b/>
                                  <w:bCs/>
                                </w:rPr>
                                <w:t xml:space="preserve"> </w:t>
                              </w:r>
                              <w:r>
                                <w:rPr>
                                  <w:b/>
                                  <w:bCs/>
                                  <w:vertAlign w:val="superscript"/>
                                </w:rPr>
                                <w:t>1</w:t>
                              </w:r>
                              <w:r>
                                <w:rPr>
                                  <w:b/>
                                  <w:bCs/>
                                </w:rPr>
                                <w:t xml:space="preserve"> </w:t>
                              </w:r>
                              <w:r>
                                <w:rPr>
                                  <w:b/>
                                  <w:bCs/>
                                </w:rPr>
                                <w:br/>
                                <w:t> </w:t>
                              </w:r>
                            </w:p>
                          </w:tc>
                          <w:tc>
                            <w:tcPr>
                              <w:tcW w:w="0" w:type="auto"/>
                              <w:shd w:val="clear" w:color="auto" w:fill="FFFFFF"/>
                              <w:hideMark/>
                            </w:tcPr>
                            <w:p w14:paraId="6723247A" w14:textId="77777777" w:rsidR="00556141" w:rsidRDefault="00556141">
                              <w:pPr>
                                <w:rPr>
                                  <w:b/>
                                  <w:bCs/>
                                </w:rPr>
                              </w:pPr>
                              <w:r>
                                <w:rPr>
                                  <w:b/>
                                  <w:bCs/>
                                  <w:i/>
                                  <w:iCs/>
                                </w:rPr>
                                <w:t>b</w:t>
                              </w:r>
                              <w:r>
                                <w:rPr>
                                  <w:b/>
                                  <w:bCs/>
                                </w:rPr>
                                <w:t xml:space="preserve"> hr</w:t>
                              </w:r>
                              <w:r>
                                <w:rPr>
                                  <w:b/>
                                  <w:bCs/>
                                  <w:vertAlign w:val="superscript"/>
                                </w:rPr>
                                <w:t>–</w:t>
                              </w:r>
                              <w:r>
                                <w:rPr>
                                  <w:b/>
                                  <w:bCs/>
                                </w:rPr>
                                <w:t xml:space="preserve"> </w:t>
                              </w:r>
                              <w:r>
                                <w:rPr>
                                  <w:b/>
                                  <w:bCs/>
                                  <w:vertAlign w:val="superscript"/>
                                </w:rPr>
                                <w:t>1</w:t>
                              </w:r>
                              <w:r>
                                <w:rPr>
                                  <w:b/>
                                  <w:bCs/>
                                </w:rPr>
                                <w:t xml:space="preserve"> </w:t>
                              </w:r>
                              <w:r>
                                <w:rPr>
                                  <w:b/>
                                  <w:bCs/>
                                </w:rPr>
                                <w:br/>
                                <w:t> </w:t>
                              </w:r>
                            </w:p>
                          </w:tc>
                          <w:tc>
                            <w:tcPr>
                              <w:tcW w:w="0" w:type="auto"/>
                              <w:shd w:val="clear" w:color="auto" w:fill="FFFFFF"/>
                              <w:hideMark/>
                            </w:tcPr>
                            <w:p w14:paraId="4A3B4213" w14:textId="77777777" w:rsidR="00556141" w:rsidRDefault="00556141">
                              <w:pPr>
                                <w:rPr>
                                  <w:b/>
                                  <w:bCs/>
                                </w:rPr>
                              </w:pPr>
                              <w:r>
                                <w:rPr>
                                  <w:b/>
                                  <w:bCs/>
                                  <w:i/>
                                  <w:iCs/>
                                </w:rPr>
                                <w:t>k</w:t>
                              </w:r>
                              <w:r>
                                <w:rPr>
                                  <w:b/>
                                  <w:bCs/>
                                </w:rPr>
                                <w:t>hr</w:t>
                              </w:r>
                              <w:r>
                                <w:rPr>
                                  <w:b/>
                                  <w:bCs/>
                                  <w:vertAlign w:val="superscript"/>
                                </w:rPr>
                                <w:t>–</w:t>
                              </w:r>
                              <w:r>
                                <w:rPr>
                                  <w:b/>
                                  <w:bCs/>
                                </w:rPr>
                                <w:t xml:space="preserve"> </w:t>
                              </w:r>
                              <w:r>
                                <w:rPr>
                                  <w:b/>
                                  <w:bCs/>
                                  <w:vertAlign w:val="superscript"/>
                                </w:rPr>
                                <w:t>1</w:t>
                              </w:r>
                              <w:r>
                                <w:rPr>
                                  <w:b/>
                                  <w:bCs/>
                                </w:rPr>
                                <w:t xml:space="preserve"> </w:t>
                              </w:r>
                              <w:r>
                                <w:rPr>
                                  <w:b/>
                                  <w:bCs/>
                                </w:rPr>
                                <w:br/>
                                <w:t> </w:t>
                              </w:r>
                            </w:p>
                          </w:tc>
                        </w:tr>
                        <w:tr w:rsidR="00556141" w14:paraId="7FEE2610" w14:textId="77777777">
                          <w:trPr>
                            <w:tblCellSpacing w:w="7" w:type="dxa"/>
                          </w:trPr>
                          <w:tc>
                            <w:tcPr>
                              <w:tcW w:w="0" w:type="auto"/>
                              <w:shd w:val="clear" w:color="auto" w:fill="FFFFFF"/>
                              <w:hideMark/>
                            </w:tcPr>
                            <w:p w14:paraId="08A11CAF" w14:textId="77777777" w:rsidR="00556141" w:rsidRDefault="00556141">
                              <w:r>
                                <w:t>1</w:t>
                              </w:r>
                            </w:p>
                          </w:tc>
                          <w:tc>
                            <w:tcPr>
                              <w:tcW w:w="0" w:type="auto"/>
                              <w:shd w:val="clear" w:color="auto" w:fill="FFFFFF"/>
                              <w:hideMark/>
                            </w:tcPr>
                            <w:p w14:paraId="27D622A5" w14:textId="77777777" w:rsidR="00556141" w:rsidRDefault="00556141">
                              <w:r>
                                <w:t>138.9 ± 114.9</w:t>
                              </w:r>
                            </w:p>
                          </w:tc>
                          <w:tc>
                            <w:tcPr>
                              <w:tcW w:w="0" w:type="auto"/>
                              <w:shd w:val="clear" w:color="auto" w:fill="FFFFFF"/>
                              <w:hideMark/>
                            </w:tcPr>
                            <w:p w14:paraId="5CFBC8D7" w14:textId="77777777" w:rsidR="00556141" w:rsidRDefault="00556141">
                              <w:r>
                                <w:t>157.8 ± 87.1</w:t>
                              </w:r>
                            </w:p>
                          </w:tc>
                          <w:tc>
                            <w:tcPr>
                              <w:tcW w:w="0" w:type="auto"/>
                              <w:shd w:val="clear" w:color="auto" w:fill="FFFFFF"/>
                              <w:hideMark/>
                            </w:tcPr>
                            <w:p w14:paraId="4254C316" w14:textId="77777777" w:rsidR="00556141" w:rsidRDefault="00556141">
                              <w:r>
                                <w:t>6.8 ± 4.5</w:t>
                              </w:r>
                            </w:p>
                          </w:tc>
                          <w:tc>
                            <w:tcPr>
                              <w:tcW w:w="0" w:type="auto"/>
                              <w:shd w:val="clear" w:color="auto" w:fill="FFFFFF"/>
                              <w:hideMark/>
                            </w:tcPr>
                            <w:p w14:paraId="48CCFACF" w14:textId="77777777" w:rsidR="00556141" w:rsidRDefault="00556141">
                              <w:r>
                                <w:t>0.20 ± 0.12</w:t>
                              </w:r>
                            </w:p>
                          </w:tc>
                          <w:tc>
                            <w:tcPr>
                              <w:tcW w:w="0" w:type="auto"/>
                              <w:shd w:val="clear" w:color="auto" w:fill="FFFFFF"/>
                              <w:hideMark/>
                            </w:tcPr>
                            <w:p w14:paraId="7ABEAC8A" w14:textId="77777777" w:rsidR="00556141" w:rsidRDefault="00556141">
                              <w:r>
                                <w:t>0.38 ± 0.26</w:t>
                              </w:r>
                            </w:p>
                          </w:tc>
                        </w:tr>
                        <w:tr w:rsidR="00556141" w14:paraId="33CA1E36" w14:textId="77777777">
                          <w:trPr>
                            <w:tblCellSpacing w:w="7" w:type="dxa"/>
                          </w:trPr>
                          <w:tc>
                            <w:tcPr>
                              <w:tcW w:w="0" w:type="auto"/>
                              <w:shd w:val="clear" w:color="auto" w:fill="FFFFFF"/>
                              <w:hideMark/>
                            </w:tcPr>
                            <w:p w14:paraId="6E371E6F" w14:textId="77777777" w:rsidR="00556141" w:rsidRDefault="00556141">
                              <w:r>
                                <w:t>2</w:t>
                              </w:r>
                            </w:p>
                          </w:tc>
                          <w:tc>
                            <w:tcPr>
                              <w:tcW w:w="0" w:type="auto"/>
                              <w:shd w:val="clear" w:color="auto" w:fill="FFFFFF"/>
                              <w:hideMark/>
                            </w:tcPr>
                            <w:p w14:paraId="53977472" w14:textId="77777777" w:rsidR="00556141" w:rsidRDefault="00556141">
                              <w:r>
                                <w:t>115.4 ± 65.9</w:t>
                              </w:r>
                            </w:p>
                          </w:tc>
                          <w:tc>
                            <w:tcPr>
                              <w:tcW w:w="0" w:type="auto"/>
                              <w:shd w:val="clear" w:color="auto" w:fill="FFFFFF"/>
                              <w:hideMark/>
                            </w:tcPr>
                            <w:p w14:paraId="745B1772" w14:textId="77777777" w:rsidR="00556141" w:rsidRDefault="00556141">
                              <w:r>
                                <w:t>115.0 ± 40.8</w:t>
                              </w:r>
                            </w:p>
                          </w:tc>
                          <w:tc>
                            <w:tcPr>
                              <w:tcW w:w="0" w:type="auto"/>
                              <w:shd w:val="clear" w:color="auto" w:fill="FFFFFF"/>
                              <w:hideMark/>
                            </w:tcPr>
                            <w:p w14:paraId="659F6F0A" w14:textId="77777777" w:rsidR="00556141" w:rsidRDefault="00556141">
                              <w:r>
                                <w:t>5.3 ± 3.5</w:t>
                              </w:r>
                            </w:p>
                          </w:tc>
                          <w:tc>
                            <w:tcPr>
                              <w:tcW w:w="0" w:type="auto"/>
                              <w:shd w:val="clear" w:color="auto" w:fill="FFFFFF"/>
                              <w:hideMark/>
                            </w:tcPr>
                            <w:p w14:paraId="3073D1F0" w14:textId="77777777" w:rsidR="00556141" w:rsidRDefault="00556141">
                              <w:r>
                                <w:t>0.27 ± 0.08</w:t>
                              </w:r>
                            </w:p>
                          </w:tc>
                          <w:tc>
                            <w:tcPr>
                              <w:tcW w:w="0" w:type="auto"/>
                              <w:shd w:val="clear" w:color="auto" w:fill="FFFFFF"/>
                              <w:hideMark/>
                            </w:tcPr>
                            <w:p w14:paraId="6649AEF7" w14:textId="77777777" w:rsidR="00556141" w:rsidRDefault="00556141">
                              <w:r>
                                <w:t>0.50 ± 0.17</w:t>
                              </w:r>
                            </w:p>
                          </w:tc>
                        </w:tr>
                        <w:tr w:rsidR="00556141" w14:paraId="49E098D5" w14:textId="77777777">
                          <w:trPr>
                            <w:tblCellSpacing w:w="7" w:type="dxa"/>
                          </w:trPr>
                          <w:tc>
                            <w:tcPr>
                              <w:tcW w:w="0" w:type="auto"/>
                              <w:shd w:val="clear" w:color="auto" w:fill="FFFFFF"/>
                              <w:hideMark/>
                            </w:tcPr>
                            <w:p w14:paraId="6BF5C758" w14:textId="77777777" w:rsidR="00556141" w:rsidRDefault="00556141">
                              <w:r>
                                <w:t>3</w:t>
                              </w:r>
                            </w:p>
                          </w:tc>
                          <w:tc>
                            <w:tcPr>
                              <w:tcW w:w="0" w:type="auto"/>
                              <w:shd w:val="clear" w:color="auto" w:fill="FFFFFF"/>
                              <w:hideMark/>
                            </w:tcPr>
                            <w:p w14:paraId="4EED70FB" w14:textId="77777777" w:rsidR="00556141" w:rsidRDefault="00556141">
                              <w:r>
                                <w:t>102.9 ± 39.4</w:t>
                              </w:r>
                            </w:p>
                          </w:tc>
                          <w:tc>
                            <w:tcPr>
                              <w:tcW w:w="0" w:type="auto"/>
                              <w:shd w:val="clear" w:color="auto" w:fill="FFFFFF"/>
                              <w:hideMark/>
                            </w:tcPr>
                            <w:p w14:paraId="06142A53" w14:textId="77777777" w:rsidR="00556141" w:rsidRDefault="00556141">
                              <w:r>
                                <w:t>89.0 ± 36.7</w:t>
                              </w:r>
                            </w:p>
                          </w:tc>
                          <w:tc>
                            <w:tcPr>
                              <w:tcW w:w="0" w:type="auto"/>
                              <w:shd w:val="clear" w:color="auto" w:fill="FFFFFF"/>
                              <w:hideMark/>
                            </w:tcPr>
                            <w:p w14:paraId="4EA85D29" w14:textId="77777777" w:rsidR="00556141" w:rsidRDefault="00556141">
                              <w:r>
                                <w:t>5.6 ± 3.8</w:t>
                              </w:r>
                            </w:p>
                          </w:tc>
                          <w:tc>
                            <w:tcPr>
                              <w:tcW w:w="0" w:type="auto"/>
                              <w:shd w:val="clear" w:color="auto" w:fill="FFFFFF"/>
                              <w:hideMark/>
                            </w:tcPr>
                            <w:p w14:paraId="2C0AD1C7" w14:textId="77777777" w:rsidR="00556141" w:rsidRDefault="00556141">
                              <w:r>
                                <w:t>0.37 ± 0.09</w:t>
                              </w:r>
                            </w:p>
                          </w:tc>
                          <w:tc>
                            <w:tcPr>
                              <w:tcW w:w="0" w:type="auto"/>
                              <w:shd w:val="clear" w:color="auto" w:fill="FFFFFF"/>
                              <w:hideMark/>
                            </w:tcPr>
                            <w:p w14:paraId="361E77A4" w14:textId="77777777" w:rsidR="00556141" w:rsidRDefault="00556141">
                              <w:r>
                                <w:t>0.71 ± 0.16</w:t>
                              </w:r>
                            </w:p>
                          </w:tc>
                        </w:tr>
                        <w:tr w:rsidR="00556141" w14:paraId="0760ED12" w14:textId="77777777">
                          <w:trPr>
                            <w:tblHeader/>
                            <w:tblCellSpacing w:w="7" w:type="dxa"/>
                          </w:trPr>
                          <w:tc>
                            <w:tcPr>
                              <w:tcW w:w="0" w:type="auto"/>
                              <w:shd w:val="clear" w:color="auto" w:fill="FFFFFF"/>
                              <w:hideMark/>
                            </w:tcPr>
                            <w:p w14:paraId="4853FD71" w14:textId="77777777" w:rsidR="00556141" w:rsidRDefault="00556141">
                              <w:pPr>
                                <w:rPr>
                                  <w:b/>
                                  <w:bCs/>
                                </w:rPr>
                              </w:pPr>
                              <w:r>
                                <w:rPr>
                                  <w:b/>
                                  <w:bCs/>
                                </w:rPr>
                                <w:t>Group</w:t>
                              </w:r>
                            </w:p>
                          </w:tc>
                          <w:tc>
                            <w:tcPr>
                              <w:tcW w:w="0" w:type="auto"/>
                              <w:shd w:val="clear" w:color="auto" w:fill="FFFFFF"/>
                              <w:hideMark/>
                            </w:tcPr>
                            <w:p w14:paraId="592EBEA0" w14:textId="77777777" w:rsidR="00556141" w:rsidRDefault="00556141">
                              <w:pPr>
                                <w:rPr>
                                  <w:b/>
                                  <w:bCs/>
                                </w:rPr>
                              </w:pPr>
                              <w:r>
                                <w:rPr>
                                  <w:b/>
                                  <w:bCs/>
                                  <w:i/>
                                  <w:iCs/>
                                </w:rPr>
                                <w:t>Cl</w:t>
                              </w:r>
                              <w:r>
                                <w:rPr>
                                  <w:b/>
                                  <w:bCs/>
                                </w:rPr>
                                <w:t xml:space="preserve"> mL/min </w:t>
                              </w:r>
                            </w:p>
                          </w:tc>
                          <w:tc>
                            <w:tcPr>
                              <w:tcW w:w="0" w:type="auto"/>
                              <w:shd w:val="clear" w:color="auto" w:fill="FFFFFF"/>
                              <w:hideMark/>
                            </w:tcPr>
                            <w:p w14:paraId="7153F383" w14:textId="77777777" w:rsidR="00556141" w:rsidRDefault="00556141">
                              <w:pPr>
                                <w:rPr>
                                  <w:b/>
                                  <w:bCs/>
                                </w:rPr>
                              </w:pPr>
                              <w:r>
                                <w:rPr>
                                  <w:b/>
                                  <w:bCs/>
                                  <w:i/>
                                  <w:iCs/>
                                </w:rPr>
                                <w:t>V</w:t>
                              </w:r>
                              <w:r>
                                <w:rPr>
                                  <w:b/>
                                  <w:bCs/>
                                </w:rPr>
                                <w:t xml:space="preserve"> </w:t>
                              </w:r>
                              <w:r>
                                <w:rPr>
                                  <w:b/>
                                  <w:bCs/>
                                  <w:vertAlign w:val="subscript"/>
                                </w:rPr>
                                <w:t>p</w:t>
                              </w:r>
                              <w:r>
                                <w:rPr>
                                  <w:b/>
                                  <w:bCs/>
                                </w:rPr>
                                <w:t xml:space="preserve"> L/kg</w:t>
                              </w:r>
                              <w:r>
                                <w:rPr>
                                  <w:b/>
                                  <w:bCs/>
                                </w:rPr>
                                <w:br/>
                                <w:t> </w:t>
                              </w:r>
                            </w:p>
                          </w:tc>
                          <w:tc>
                            <w:tcPr>
                              <w:tcW w:w="0" w:type="auto"/>
                              <w:shd w:val="clear" w:color="auto" w:fill="FFFFFF"/>
                              <w:hideMark/>
                            </w:tcPr>
                            <w:p w14:paraId="3CB1DE4D" w14:textId="77777777" w:rsidR="00556141" w:rsidRDefault="00556141">
                              <w:pPr>
                                <w:rPr>
                                  <w:b/>
                                  <w:bCs/>
                                </w:rPr>
                              </w:pPr>
                              <w:r>
                                <w:rPr>
                                  <w:b/>
                                  <w:bCs/>
                                  <w:i/>
                                  <w:iCs/>
                                </w:rPr>
                                <w:t>V</w:t>
                              </w:r>
                              <w:r>
                                <w:rPr>
                                  <w:b/>
                                  <w:bCs/>
                                </w:rPr>
                                <w:t xml:space="preserve"> </w:t>
                              </w:r>
                              <w:r>
                                <w:rPr>
                                  <w:b/>
                                  <w:bCs/>
                                  <w:vertAlign w:val="subscript"/>
                                </w:rPr>
                                <w:t>t</w:t>
                              </w:r>
                              <w:r>
                                <w:rPr>
                                  <w:b/>
                                  <w:bCs/>
                                </w:rPr>
                                <w:t xml:space="preserve"> L/kg</w:t>
                              </w:r>
                              <w:r>
                                <w:rPr>
                                  <w:b/>
                                  <w:bCs/>
                                </w:rPr>
                                <w:br/>
                                <w:t> </w:t>
                              </w:r>
                            </w:p>
                          </w:tc>
                          <w:tc>
                            <w:tcPr>
                              <w:tcW w:w="0" w:type="auto"/>
                              <w:shd w:val="clear" w:color="auto" w:fill="FFFFFF"/>
                              <w:hideMark/>
                            </w:tcPr>
                            <w:p w14:paraId="0EAA179A" w14:textId="77777777" w:rsidR="00556141" w:rsidRDefault="00556141">
                              <w:pPr>
                                <w:rPr>
                                  <w:b/>
                                  <w:bCs/>
                                </w:rPr>
                              </w:pPr>
                              <w:r>
                                <w:rPr>
                                  <w:b/>
                                  <w:bCs/>
                                </w:rPr>
                                <w:t>(</w:t>
                              </w:r>
                              <w:r>
                                <w:rPr>
                                  <w:b/>
                                  <w:bCs/>
                                  <w:i/>
                                  <w:iCs/>
                                </w:rPr>
                                <w:t>V</w:t>
                              </w:r>
                              <w:r>
                                <w:rPr>
                                  <w:b/>
                                  <w:bCs/>
                                </w:rPr>
                                <w:t xml:space="preserve"> </w:t>
                              </w:r>
                              <w:r>
                                <w:rPr>
                                  <w:b/>
                                  <w:bCs/>
                                  <w:vertAlign w:val="subscript"/>
                                </w:rPr>
                                <w:t>D</w:t>
                              </w:r>
                              <w:r>
                                <w:rPr>
                                  <w:b/>
                                  <w:bCs/>
                                </w:rPr>
                                <w:t>)</w:t>
                              </w:r>
                              <w:r>
                                <w:rPr>
                                  <w:b/>
                                  <w:bCs/>
                                  <w:vertAlign w:val="subscript"/>
                                </w:rPr>
                                <w:t>ss</w:t>
                              </w:r>
                              <w:r>
                                <w:rPr>
                                  <w:b/>
                                  <w:bCs/>
                                </w:rPr>
                                <w:t xml:space="preserve"> L/kg</w:t>
                              </w:r>
                              <w:r>
                                <w:rPr>
                                  <w:b/>
                                  <w:bCs/>
                                </w:rPr>
                                <w:br/>
                                <w:t> </w:t>
                              </w:r>
                            </w:p>
                          </w:tc>
                          <w:tc>
                            <w:tcPr>
                              <w:tcW w:w="0" w:type="auto"/>
                              <w:shd w:val="clear" w:color="auto" w:fill="FFFFFF"/>
                              <w:hideMark/>
                            </w:tcPr>
                            <w:p w14:paraId="2E582A71" w14:textId="58C9FED9" w:rsidR="00556141" w:rsidRDefault="00556141">
                              <w:pPr>
                                <w:rPr>
                                  <w:b/>
                                  <w:bCs/>
                                </w:rPr>
                              </w:pPr>
                              <w:r>
                                <w:rPr>
                                  <w:b/>
                                  <w:bCs/>
                                </w:rPr>
                                <w:t>(</w:t>
                              </w:r>
                              <w:r>
                                <w:rPr>
                                  <w:b/>
                                  <w:bCs/>
                                  <w:i/>
                                  <w:iCs/>
                                </w:rPr>
                                <w:t>V</w:t>
                              </w:r>
                              <w:r>
                                <w:rPr>
                                  <w:b/>
                                  <w:bCs/>
                                </w:rPr>
                                <w:t xml:space="preserve"> </w:t>
                              </w:r>
                              <w:r>
                                <w:rPr>
                                  <w:b/>
                                  <w:bCs/>
                                  <w:vertAlign w:val="subscript"/>
                                </w:rPr>
                                <w:t>D</w:t>
                              </w:r>
                              <w:r>
                                <w:rPr>
                                  <w:b/>
                                  <w:bCs/>
                                </w:rPr>
                                <w:t>)</w:t>
                              </w:r>
                              <w:r>
                                <w:rPr>
                                  <w:b/>
                                  <w:bCs/>
                                  <w:noProof/>
                                  <w:vertAlign w:val="subscript"/>
                                </w:rPr>
                                <mc:AlternateContent>
                                  <mc:Choice Requires="wps">
                                    <w:drawing>
                                      <wp:inline distT="0" distB="0" distL="0" distR="0" wp14:anchorId="6F686B23" wp14:editId="220C9C04">
                                        <wp:extent cx="304800" cy="304800"/>
                                        <wp:effectExtent l="0" t="0" r="0" b="0"/>
                                        <wp:docPr id="562097152"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6BC60"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 xml:space="preserve"> L/kg</w:t>
                              </w:r>
                              <w:r>
                                <w:rPr>
                                  <w:b/>
                                  <w:bCs/>
                                </w:rPr>
                                <w:br/>
                                <w:t> </w:t>
                              </w:r>
                            </w:p>
                          </w:tc>
                        </w:tr>
                        <w:tr w:rsidR="00556141" w14:paraId="2AE396B7" w14:textId="77777777">
                          <w:trPr>
                            <w:tblCellSpacing w:w="7" w:type="dxa"/>
                          </w:trPr>
                          <w:tc>
                            <w:tcPr>
                              <w:tcW w:w="0" w:type="auto"/>
                              <w:shd w:val="clear" w:color="auto" w:fill="FFFFFF"/>
                              <w:hideMark/>
                            </w:tcPr>
                            <w:p w14:paraId="2C7391F9" w14:textId="77777777" w:rsidR="00556141" w:rsidRDefault="00556141">
                              <w:r>
                                <w:t>1</w:t>
                              </w:r>
                            </w:p>
                          </w:tc>
                          <w:tc>
                            <w:tcPr>
                              <w:tcW w:w="0" w:type="auto"/>
                              <w:shd w:val="clear" w:color="auto" w:fill="FFFFFF"/>
                              <w:hideMark/>
                            </w:tcPr>
                            <w:p w14:paraId="68B3CD67" w14:textId="77777777" w:rsidR="00556141" w:rsidRDefault="00556141">
                              <w:r>
                                <w:t>40.5 ± 14.5</w:t>
                              </w:r>
                            </w:p>
                          </w:tc>
                          <w:tc>
                            <w:tcPr>
                              <w:tcW w:w="0" w:type="auto"/>
                              <w:shd w:val="clear" w:color="auto" w:fill="FFFFFF"/>
                              <w:hideMark/>
                            </w:tcPr>
                            <w:p w14:paraId="54DBE15A" w14:textId="77777777" w:rsidR="00556141" w:rsidRDefault="00556141">
                              <w:r>
                                <w:t>0.12 ± 0.05</w:t>
                              </w:r>
                            </w:p>
                          </w:tc>
                          <w:tc>
                            <w:tcPr>
                              <w:tcW w:w="0" w:type="auto"/>
                              <w:shd w:val="clear" w:color="auto" w:fill="FFFFFF"/>
                              <w:hideMark/>
                            </w:tcPr>
                            <w:p w14:paraId="126119FB" w14:textId="77777777" w:rsidR="00556141" w:rsidRDefault="00556141">
                              <w:r>
                                <w:t>0.08 ± 0.04</w:t>
                              </w:r>
                            </w:p>
                          </w:tc>
                          <w:tc>
                            <w:tcPr>
                              <w:tcW w:w="0" w:type="auto"/>
                              <w:shd w:val="clear" w:color="auto" w:fill="FFFFFF"/>
                              <w:hideMark/>
                            </w:tcPr>
                            <w:p w14:paraId="322E7552" w14:textId="77777777" w:rsidR="00556141" w:rsidRDefault="00556141">
                              <w:r>
                                <w:t>0.20 ± 0.09</w:t>
                              </w:r>
                            </w:p>
                          </w:tc>
                          <w:tc>
                            <w:tcPr>
                              <w:tcW w:w="0" w:type="auto"/>
                              <w:shd w:val="clear" w:color="auto" w:fill="FFFFFF"/>
                              <w:hideMark/>
                            </w:tcPr>
                            <w:p w14:paraId="3B579B0A" w14:textId="77777777" w:rsidR="00556141" w:rsidRDefault="00556141">
                              <w:r>
                                <w:t>0.21 ± 0.09</w:t>
                              </w:r>
                            </w:p>
                          </w:tc>
                        </w:tr>
                        <w:tr w:rsidR="00556141" w14:paraId="4309B7EE" w14:textId="77777777">
                          <w:trPr>
                            <w:tblCellSpacing w:w="7" w:type="dxa"/>
                          </w:trPr>
                          <w:tc>
                            <w:tcPr>
                              <w:tcW w:w="0" w:type="auto"/>
                              <w:shd w:val="clear" w:color="auto" w:fill="FFFFFF"/>
                              <w:hideMark/>
                            </w:tcPr>
                            <w:p w14:paraId="7819BA47" w14:textId="77777777" w:rsidR="00556141" w:rsidRDefault="00556141">
                              <w:r>
                                <w:t>2</w:t>
                              </w:r>
                            </w:p>
                          </w:tc>
                          <w:tc>
                            <w:tcPr>
                              <w:tcW w:w="0" w:type="auto"/>
                              <w:shd w:val="clear" w:color="auto" w:fill="FFFFFF"/>
                              <w:hideMark/>
                            </w:tcPr>
                            <w:p w14:paraId="0E0C20CB" w14:textId="77777777" w:rsidR="00556141" w:rsidRDefault="00556141">
                              <w:r>
                                <w:t>73.7 ± 13.1</w:t>
                              </w:r>
                            </w:p>
                          </w:tc>
                          <w:tc>
                            <w:tcPr>
                              <w:tcW w:w="0" w:type="auto"/>
                              <w:shd w:val="clear" w:color="auto" w:fill="FFFFFF"/>
                              <w:hideMark/>
                            </w:tcPr>
                            <w:p w14:paraId="0252CDE9" w14:textId="77777777" w:rsidR="00556141" w:rsidRDefault="00556141">
                              <w:r>
                                <w:t>0.14 ± 0.06</w:t>
                              </w:r>
                            </w:p>
                          </w:tc>
                          <w:tc>
                            <w:tcPr>
                              <w:tcW w:w="0" w:type="auto"/>
                              <w:shd w:val="clear" w:color="auto" w:fill="FFFFFF"/>
                              <w:hideMark/>
                            </w:tcPr>
                            <w:p w14:paraId="3DB22608" w14:textId="77777777" w:rsidR="00556141" w:rsidRDefault="00556141">
                              <w:r>
                                <w:t>0.09 ± 0.04</w:t>
                              </w:r>
                            </w:p>
                          </w:tc>
                          <w:tc>
                            <w:tcPr>
                              <w:tcW w:w="0" w:type="auto"/>
                              <w:shd w:val="clear" w:color="auto" w:fill="FFFFFF"/>
                              <w:hideMark/>
                            </w:tcPr>
                            <w:p w14:paraId="7669D832" w14:textId="77777777" w:rsidR="00556141" w:rsidRDefault="00556141">
                              <w:r>
                                <w:t>0.23 ± 0.10</w:t>
                              </w:r>
                            </w:p>
                          </w:tc>
                          <w:tc>
                            <w:tcPr>
                              <w:tcW w:w="0" w:type="auto"/>
                              <w:shd w:val="clear" w:color="auto" w:fill="FFFFFF"/>
                              <w:hideMark/>
                            </w:tcPr>
                            <w:p w14:paraId="5597FE75" w14:textId="77777777" w:rsidR="00556141" w:rsidRDefault="00556141">
                              <w:r>
                                <w:t>0.24 ± 0.12</w:t>
                              </w:r>
                            </w:p>
                          </w:tc>
                        </w:tr>
                        <w:tr w:rsidR="00556141" w14:paraId="156AA4A2" w14:textId="77777777">
                          <w:trPr>
                            <w:tblCellSpacing w:w="7" w:type="dxa"/>
                          </w:trPr>
                          <w:tc>
                            <w:tcPr>
                              <w:tcW w:w="0" w:type="auto"/>
                              <w:shd w:val="clear" w:color="auto" w:fill="FFFFFF"/>
                              <w:hideMark/>
                            </w:tcPr>
                            <w:p w14:paraId="66E1EEBD" w14:textId="77777777" w:rsidR="00556141" w:rsidRDefault="00556141">
                              <w:r>
                                <w:t>3</w:t>
                              </w:r>
                            </w:p>
                          </w:tc>
                          <w:tc>
                            <w:tcPr>
                              <w:tcW w:w="0" w:type="auto"/>
                              <w:shd w:val="clear" w:color="auto" w:fill="FFFFFF"/>
                              <w:hideMark/>
                            </w:tcPr>
                            <w:p w14:paraId="0490BB3B" w14:textId="77777777" w:rsidR="00556141" w:rsidRDefault="00556141">
                              <w:r>
                                <w:t>125.9 ± 28.0</w:t>
                              </w:r>
                            </w:p>
                          </w:tc>
                          <w:tc>
                            <w:tcPr>
                              <w:tcW w:w="0" w:type="auto"/>
                              <w:shd w:val="clear" w:color="auto" w:fill="FFFFFF"/>
                              <w:hideMark/>
                            </w:tcPr>
                            <w:p w14:paraId="3F6B6F7F" w14:textId="77777777" w:rsidR="00556141" w:rsidRDefault="00556141">
                              <w:r>
                                <w:t>0.15 ± 0.05</w:t>
                              </w:r>
                            </w:p>
                          </w:tc>
                          <w:tc>
                            <w:tcPr>
                              <w:tcW w:w="0" w:type="auto"/>
                              <w:shd w:val="clear" w:color="auto" w:fill="FFFFFF"/>
                              <w:hideMark/>
                            </w:tcPr>
                            <w:p w14:paraId="17A1234C" w14:textId="77777777" w:rsidR="00556141" w:rsidRDefault="00556141">
                              <w:r>
                                <w:t>0.10 ± 0.05</w:t>
                              </w:r>
                            </w:p>
                          </w:tc>
                          <w:tc>
                            <w:tcPr>
                              <w:tcW w:w="0" w:type="auto"/>
                              <w:shd w:val="clear" w:color="auto" w:fill="FFFFFF"/>
                              <w:hideMark/>
                            </w:tcPr>
                            <w:p w14:paraId="1BD3CB04" w14:textId="77777777" w:rsidR="00556141" w:rsidRDefault="00556141">
                              <w:r>
                                <w:t>0.25 ± 0.08</w:t>
                              </w:r>
                            </w:p>
                          </w:tc>
                          <w:tc>
                            <w:tcPr>
                              <w:tcW w:w="0" w:type="auto"/>
                              <w:shd w:val="clear" w:color="auto" w:fill="FFFFFF"/>
                              <w:hideMark/>
                            </w:tcPr>
                            <w:p w14:paraId="272018F8" w14:textId="77777777" w:rsidR="00556141" w:rsidRDefault="00556141">
                              <w:r>
                                <w:t>0.29 ± 0.09</w:t>
                              </w:r>
                            </w:p>
                          </w:tc>
                        </w:tr>
                      </w:tbl>
                      <w:p w14:paraId="373A99B8" w14:textId="77777777" w:rsidR="00556141" w:rsidRDefault="00556141"/>
                    </w:tc>
                  </w:tr>
                  <w:tr w:rsidR="00556141" w14:paraId="5E0F420F" w14:textId="77777777">
                    <w:trPr>
                      <w:tblCellSpacing w:w="0" w:type="dxa"/>
                    </w:trPr>
                    <w:tc>
                      <w:tcPr>
                        <w:tcW w:w="0" w:type="auto"/>
                        <w:shd w:val="clear" w:color="auto" w:fill="FFFFFF"/>
                        <w:vAlign w:val="center"/>
                        <w:hideMark/>
                      </w:tcPr>
                      <w:p w14:paraId="3C5D3035" w14:textId="77777777" w:rsidR="00556141" w:rsidRDefault="00556141">
                        <w:pPr>
                          <w:rPr>
                            <w:sz w:val="24"/>
                            <w:szCs w:val="24"/>
                          </w:rPr>
                        </w:pPr>
                      </w:p>
                    </w:tc>
                  </w:tr>
                </w:tbl>
                <w:p w14:paraId="0A662D5E" w14:textId="77777777" w:rsidR="00556141" w:rsidRDefault="00556141">
                  <w:pPr>
                    <w:pStyle w:val="contentbody"/>
                  </w:pPr>
                  <w:bookmarkStart w:id="85" w:name="2486108"/>
                  <w:bookmarkEnd w:id="85"/>
                  <w:r>
                    <w:t xml:space="preserve">As in the case of the one-compartment model, </w:t>
                  </w:r>
                  <w:r>
                    <w:rPr>
                      <w:i/>
                      <w:iCs/>
                    </w:rPr>
                    <w:t>V</w:t>
                  </w:r>
                  <w:r>
                    <w:t xml:space="preserve"> </w:t>
                  </w:r>
                  <w:r>
                    <w:rPr>
                      <w:vertAlign w:val="subscript"/>
                    </w:rPr>
                    <w:t>p</w:t>
                  </w:r>
                  <w:r>
                    <w:t xml:space="preserve"> may be determined from the dose and the instantaneous plasma–drug concentration, </w:t>
                  </w:r>
                  <w:r>
                    <w:rPr>
                      <w:i/>
                      <w:iCs/>
                    </w:rPr>
                    <w:t>C</w:t>
                  </w:r>
                  <w:r>
                    <w:t xml:space="preserve"> </w:t>
                  </w:r>
                  <w:r>
                    <w:rPr>
                      <w:vertAlign w:val="superscript"/>
                    </w:rPr>
                    <w:t>0</w:t>
                  </w:r>
                  <w:r>
                    <w:t xml:space="preserve"> </w:t>
                  </w:r>
                  <w:r>
                    <w:rPr>
                      <w:vertAlign w:val="subscript"/>
                    </w:rPr>
                    <w:t>p</w:t>
                  </w:r>
                  <w:r>
                    <w:t xml:space="preserve">. </w:t>
                  </w:r>
                  <w:r>
                    <w:rPr>
                      <w:i/>
                      <w:iCs/>
                    </w:rPr>
                    <w:t>V</w:t>
                  </w:r>
                  <w:r>
                    <w:t xml:space="preserve"> </w:t>
                  </w:r>
                  <w:r>
                    <w:rPr>
                      <w:vertAlign w:val="subscript"/>
                    </w:rPr>
                    <w:t>p</w:t>
                  </w:r>
                  <w:r>
                    <w:t xml:space="preserve"> is also useful in the determination of drug clearance if </w:t>
                  </w:r>
                  <w:r>
                    <w:rPr>
                      <w:i/>
                      <w:iCs/>
                    </w:rPr>
                    <w:t>k</w:t>
                  </w:r>
                  <w:r>
                    <w:t xml:space="preserve"> is known, as in .</w:t>
                  </w:r>
                </w:p>
                <w:p w14:paraId="0CE7228D" w14:textId="77777777" w:rsidR="00556141" w:rsidRDefault="00556141">
                  <w:pPr>
                    <w:pStyle w:val="contentbody"/>
                  </w:pPr>
                  <w:bookmarkStart w:id="86" w:name="2486109"/>
                  <w:bookmarkEnd w:id="86"/>
                  <w:r>
                    <w:t xml:space="preserve">In the two-compartment model, </w:t>
                  </w:r>
                  <w:r>
                    <w:rPr>
                      <w:i/>
                      <w:iCs/>
                    </w:rPr>
                    <w:t>V</w:t>
                  </w:r>
                  <w:r>
                    <w:t xml:space="preserve"> </w:t>
                  </w:r>
                  <w:r>
                    <w:rPr>
                      <w:vertAlign w:val="subscript"/>
                    </w:rPr>
                    <w:t>p</w:t>
                  </w:r>
                  <w:r>
                    <w:t xml:space="preserve"> may also be considered as a mass balance factor governed by the mass balance between dose and concentration, ie, drug concentration multiplied by the volume of the fluid must equal to the dose at time zero. At time zero, no drug is eliminated, </w:t>
                  </w:r>
                  <w:r>
                    <w:rPr>
                      <w:i/>
                      <w:iCs/>
                    </w:rPr>
                    <w:t>D</w:t>
                  </w:r>
                  <w:r>
                    <w:t xml:space="preserve"> </w:t>
                  </w:r>
                  <w:r>
                    <w:rPr>
                      <w:vertAlign w:val="subscript"/>
                    </w:rPr>
                    <w:t>0</w:t>
                  </w:r>
                  <w:r>
                    <w:t xml:space="preserve"> = </w:t>
                  </w:r>
                  <w:r>
                    <w:rPr>
                      <w:i/>
                      <w:iCs/>
                    </w:rPr>
                    <w:t>V</w:t>
                  </w:r>
                  <w:r>
                    <w:t xml:space="preserve"> </w:t>
                  </w:r>
                  <w:r>
                    <w:rPr>
                      <w:vertAlign w:val="subscript"/>
                    </w:rPr>
                    <w:t>p</w:t>
                  </w:r>
                  <w:r>
                    <w:rPr>
                      <w:i/>
                      <w:iCs/>
                    </w:rPr>
                    <w:t>C</w:t>
                  </w:r>
                  <w:r>
                    <w:t xml:space="preserve"> </w:t>
                  </w:r>
                  <w:r>
                    <w:rPr>
                      <w:vertAlign w:val="subscript"/>
                    </w:rPr>
                    <w:t>p</w:t>
                  </w:r>
                  <w:r>
                    <w:t>. The basic model assumption is that plasma–drug concentration is representative of drug concentration within the distribution fluid. If this statement is true, then the volume of distribution will be 3 L; if it is not, then distribution of drug may also occur outside the vascular pool.</w:t>
                  </w:r>
                </w:p>
                <w:p w14:paraId="1A2545EE" w14:textId="7F02AE89" w:rsidR="00556141" w:rsidRDefault="00556141">
                  <w:pPr>
                    <w:pStyle w:val="contentbody"/>
                  </w:pPr>
                  <w:bookmarkStart w:id="87" w:name="2486311"/>
                  <w:bookmarkStart w:id="88" w:name="2486110"/>
                  <w:bookmarkEnd w:id="87"/>
                  <w:bookmarkEnd w:id="88"/>
                  <w:r>
                    <w:rPr>
                      <w:noProof/>
                    </w:rPr>
                    <mc:AlternateContent>
                      <mc:Choice Requires="wps">
                        <w:drawing>
                          <wp:inline distT="0" distB="0" distL="0" distR="0" wp14:anchorId="13E31BD2" wp14:editId="13CEC906">
                            <wp:extent cx="304800" cy="304800"/>
                            <wp:effectExtent l="0" t="0" r="0" b="0"/>
                            <wp:docPr id="1394008629"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46E3D"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F8729C" w14:textId="77777777" w:rsidR="00556141" w:rsidRDefault="00556141">
                  <w:pPr>
                    <w:pStyle w:val="contentbody"/>
                  </w:pPr>
                  <w:bookmarkStart w:id="89" w:name="2486111"/>
                  <w:bookmarkEnd w:id="89"/>
                  <w:r>
                    <w:t>At zero time (</w:t>
                  </w:r>
                  <w:r>
                    <w:rPr>
                      <w:i/>
                      <w:iCs/>
                    </w:rPr>
                    <w:t>t</w:t>
                  </w:r>
                  <w:r>
                    <w:t xml:space="preserve"> = 0), all of the drug in the body is in the central compartment. </w:t>
                  </w:r>
                  <w:r>
                    <w:rPr>
                      <w:i/>
                      <w:iCs/>
                    </w:rPr>
                    <w:t>C</w:t>
                  </w:r>
                  <w:r>
                    <w:t xml:space="preserve"> </w:t>
                  </w:r>
                  <w:r>
                    <w:rPr>
                      <w:vertAlign w:val="superscript"/>
                    </w:rPr>
                    <w:t>0</w:t>
                  </w:r>
                  <w:r>
                    <w:t xml:space="preserve"> </w:t>
                  </w:r>
                  <w:r>
                    <w:rPr>
                      <w:vertAlign w:val="subscript"/>
                    </w:rPr>
                    <w:t>p</w:t>
                  </w:r>
                  <w:r>
                    <w:t xml:space="preserve"> can be shown to be equal to </w:t>
                  </w:r>
                  <w:r>
                    <w:rPr>
                      <w:i/>
                      <w:iCs/>
                    </w:rPr>
                    <w:t>A</w:t>
                  </w:r>
                  <w:r>
                    <w:t xml:space="preserve"> + </w:t>
                  </w:r>
                  <w:r>
                    <w:rPr>
                      <w:i/>
                      <w:iCs/>
                    </w:rPr>
                    <w:t>B</w:t>
                  </w:r>
                  <w:r>
                    <w:t xml:space="preserve"> by the following equation.</w:t>
                  </w:r>
                </w:p>
                <w:p w14:paraId="30519886" w14:textId="5F646E26" w:rsidR="00556141" w:rsidRDefault="00556141">
                  <w:pPr>
                    <w:pStyle w:val="contentbody"/>
                  </w:pPr>
                  <w:bookmarkStart w:id="90" w:name="2486312"/>
                  <w:bookmarkStart w:id="91" w:name="2486112"/>
                  <w:bookmarkEnd w:id="90"/>
                  <w:bookmarkEnd w:id="91"/>
                  <w:r>
                    <w:rPr>
                      <w:noProof/>
                    </w:rPr>
                    <mc:AlternateContent>
                      <mc:Choice Requires="wps">
                        <w:drawing>
                          <wp:inline distT="0" distB="0" distL="0" distR="0" wp14:anchorId="0AAF15BE" wp14:editId="73675CEA">
                            <wp:extent cx="304800" cy="304800"/>
                            <wp:effectExtent l="0" t="0" r="0" b="0"/>
                            <wp:docPr id="214712900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9DF40"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551BF4" w14:textId="77777777" w:rsidR="00556141" w:rsidRDefault="00556141">
                  <w:pPr>
                    <w:pStyle w:val="contentbody"/>
                  </w:pPr>
                  <w:bookmarkStart w:id="92" w:name="2486113"/>
                  <w:bookmarkEnd w:id="92"/>
                  <w:r>
                    <w:t xml:space="preserve">At </w:t>
                  </w:r>
                  <w:r>
                    <w:rPr>
                      <w:i/>
                      <w:iCs/>
                    </w:rPr>
                    <w:t>t</w:t>
                  </w:r>
                  <w:r>
                    <w:t xml:space="preserve"> = 0, </w:t>
                  </w:r>
                  <w:r>
                    <w:rPr>
                      <w:i/>
                      <w:iCs/>
                    </w:rPr>
                    <w:t>e</w:t>
                  </w:r>
                  <w:r>
                    <w:t xml:space="preserve"> </w:t>
                  </w:r>
                  <w:r>
                    <w:rPr>
                      <w:vertAlign w:val="superscript"/>
                    </w:rPr>
                    <w:t>0</w:t>
                  </w:r>
                  <w:r>
                    <w:t xml:space="preserve"> = 1. Therefore,</w:t>
                  </w:r>
                </w:p>
                <w:p w14:paraId="6D1E4039" w14:textId="0AD7354D" w:rsidR="00556141" w:rsidRDefault="00556141">
                  <w:pPr>
                    <w:pStyle w:val="contentbody"/>
                  </w:pPr>
                  <w:bookmarkStart w:id="93" w:name="2486313"/>
                  <w:bookmarkStart w:id="94" w:name="2486114"/>
                  <w:bookmarkEnd w:id="93"/>
                  <w:bookmarkEnd w:id="94"/>
                  <w:r>
                    <w:rPr>
                      <w:noProof/>
                    </w:rPr>
                    <mc:AlternateContent>
                      <mc:Choice Requires="wps">
                        <w:drawing>
                          <wp:inline distT="0" distB="0" distL="0" distR="0" wp14:anchorId="79E1D450" wp14:editId="4D2E78A5">
                            <wp:extent cx="304800" cy="304800"/>
                            <wp:effectExtent l="0" t="0" r="0" b="0"/>
                            <wp:docPr id="1583769264"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E41ED"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92A9B7" w14:textId="77777777" w:rsidR="00556141" w:rsidRDefault="00556141">
                  <w:pPr>
                    <w:pStyle w:val="contentbody"/>
                  </w:pPr>
                  <w:bookmarkStart w:id="95" w:name="2486115"/>
                  <w:bookmarkEnd w:id="95"/>
                  <w:r>
                    <w:rPr>
                      <w:i/>
                      <w:iCs/>
                    </w:rPr>
                    <w:t>V</w:t>
                  </w:r>
                  <w:r>
                    <w:t xml:space="preserve"> </w:t>
                  </w:r>
                  <w:r>
                    <w:rPr>
                      <w:vertAlign w:val="subscript"/>
                    </w:rPr>
                    <w:t>p</w:t>
                  </w:r>
                  <w:r>
                    <w:t xml:space="preserve"> is determined from Equation 4.24 by measuring </w:t>
                  </w:r>
                  <w:r>
                    <w:rPr>
                      <w:i/>
                      <w:iCs/>
                    </w:rPr>
                    <w:t>A</w:t>
                  </w:r>
                  <w:r>
                    <w:t xml:space="preserve"> and </w:t>
                  </w:r>
                  <w:r>
                    <w:rPr>
                      <w:i/>
                      <w:iCs/>
                    </w:rPr>
                    <w:t>B</w:t>
                  </w:r>
                  <w:r>
                    <w:t xml:space="preserve"> after feathering the curve, as discussed previously:</w:t>
                  </w:r>
                </w:p>
                <w:p w14:paraId="6185B79B" w14:textId="12FC9427" w:rsidR="00556141" w:rsidRDefault="00556141">
                  <w:pPr>
                    <w:pStyle w:val="contentbody"/>
                  </w:pPr>
                  <w:bookmarkStart w:id="96" w:name="2486314"/>
                  <w:bookmarkStart w:id="97" w:name="2486116"/>
                  <w:bookmarkEnd w:id="96"/>
                  <w:bookmarkEnd w:id="97"/>
                  <w:r>
                    <w:rPr>
                      <w:noProof/>
                    </w:rPr>
                    <mc:AlternateContent>
                      <mc:Choice Requires="wps">
                        <w:drawing>
                          <wp:inline distT="0" distB="0" distL="0" distR="0" wp14:anchorId="679B0D67" wp14:editId="4AF42357">
                            <wp:extent cx="304800" cy="304800"/>
                            <wp:effectExtent l="0" t="0" r="0" b="0"/>
                            <wp:docPr id="138216963"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A1624" id="Rectangle 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E1A540" w14:textId="77777777" w:rsidR="00556141" w:rsidRDefault="00556141">
                  <w:pPr>
                    <w:pStyle w:val="contentbody"/>
                  </w:pPr>
                  <w:bookmarkStart w:id="98" w:name="2486117"/>
                  <w:bookmarkEnd w:id="98"/>
                  <w:r>
                    <w:t>Alternatively, the volume of the central compartment may be calculated from the [AUC]</w:t>
                  </w:r>
                  <w:r>
                    <w:rPr>
                      <w:vertAlign w:val="superscript"/>
                    </w:rPr>
                    <w:t>∞</w:t>
                  </w:r>
                  <w:r>
                    <w:t xml:space="preserve"> </w:t>
                  </w:r>
                  <w:r>
                    <w:rPr>
                      <w:vertAlign w:val="subscript"/>
                    </w:rPr>
                    <w:t>0</w:t>
                  </w:r>
                  <w:r>
                    <w:t xml:space="preserve"> in a manner similar to the calculation for the apparent </w:t>
                  </w:r>
                  <w:r>
                    <w:rPr>
                      <w:i/>
                      <w:iCs/>
                    </w:rPr>
                    <w:t>V</w:t>
                  </w:r>
                  <w:r>
                    <w:t xml:space="preserve"> </w:t>
                  </w:r>
                  <w:r>
                    <w:rPr>
                      <w:vertAlign w:val="subscript"/>
                    </w:rPr>
                    <w:t>D</w:t>
                  </w:r>
                  <w:r>
                    <w:t xml:space="preserve"> in the one-compartment model. For a one-compartment model,</w:t>
                  </w:r>
                </w:p>
                <w:p w14:paraId="288D7054" w14:textId="2B7EBEE8" w:rsidR="00556141" w:rsidRDefault="00556141">
                  <w:pPr>
                    <w:pStyle w:val="contentbody"/>
                  </w:pPr>
                  <w:bookmarkStart w:id="99" w:name="2486315"/>
                  <w:bookmarkStart w:id="100" w:name="2486118"/>
                  <w:bookmarkEnd w:id="99"/>
                  <w:bookmarkEnd w:id="100"/>
                  <w:r>
                    <w:rPr>
                      <w:noProof/>
                    </w:rPr>
                    <mc:AlternateContent>
                      <mc:Choice Requires="wps">
                        <w:drawing>
                          <wp:inline distT="0" distB="0" distL="0" distR="0" wp14:anchorId="425E0A80" wp14:editId="7073F4AF">
                            <wp:extent cx="304800" cy="304800"/>
                            <wp:effectExtent l="0" t="0" r="0" b="0"/>
                            <wp:docPr id="758267322"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934D0" id="Rectangle 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1B0574" w14:textId="77777777" w:rsidR="00556141" w:rsidRDefault="00556141">
                  <w:pPr>
                    <w:pStyle w:val="contentbody"/>
                  </w:pPr>
                  <w:bookmarkStart w:id="101" w:name="2486119"/>
                  <w:bookmarkEnd w:id="101"/>
                  <w:r>
                    <w:lastRenderedPageBreak/>
                    <w:t>In contrast, [AUC]</w:t>
                  </w:r>
                  <w:r>
                    <w:rPr>
                      <w:vertAlign w:val="superscript"/>
                    </w:rPr>
                    <w:t>∞</w:t>
                  </w:r>
                  <w:r>
                    <w:t xml:space="preserve"> </w:t>
                  </w:r>
                  <w:r>
                    <w:rPr>
                      <w:vertAlign w:val="subscript"/>
                    </w:rPr>
                    <w:t>0</w:t>
                  </w:r>
                  <w:r>
                    <w:t xml:space="preserve"> for the two-compartment model is</w:t>
                  </w:r>
                </w:p>
                <w:p w14:paraId="08AD232A" w14:textId="1297D9EE" w:rsidR="00556141" w:rsidRDefault="00556141">
                  <w:pPr>
                    <w:pStyle w:val="contentbody"/>
                  </w:pPr>
                  <w:bookmarkStart w:id="102" w:name="2486316"/>
                  <w:bookmarkStart w:id="103" w:name="2486120"/>
                  <w:bookmarkEnd w:id="102"/>
                  <w:bookmarkEnd w:id="103"/>
                  <w:r>
                    <w:rPr>
                      <w:noProof/>
                    </w:rPr>
                    <mc:AlternateContent>
                      <mc:Choice Requires="wps">
                        <w:drawing>
                          <wp:inline distT="0" distB="0" distL="0" distR="0" wp14:anchorId="2CC5A16D" wp14:editId="247AB5A9">
                            <wp:extent cx="304800" cy="304800"/>
                            <wp:effectExtent l="0" t="0" r="0" b="0"/>
                            <wp:docPr id="1657945153"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EE99C" id="Rectangle 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2AA492" w14:textId="77777777" w:rsidR="00556141" w:rsidRDefault="00556141">
                  <w:pPr>
                    <w:pStyle w:val="contentbody"/>
                  </w:pPr>
                  <w:bookmarkStart w:id="104" w:name="2486121"/>
                  <w:bookmarkEnd w:id="104"/>
                  <w:r>
                    <w:t>Rearrangement of this equation yields</w:t>
                  </w:r>
                </w:p>
                <w:p w14:paraId="7FF87C95" w14:textId="29A3FC73" w:rsidR="00556141" w:rsidRDefault="00556141">
                  <w:pPr>
                    <w:pStyle w:val="contentbody"/>
                  </w:pPr>
                  <w:bookmarkStart w:id="105" w:name="2486317"/>
                  <w:bookmarkStart w:id="106" w:name="2486122"/>
                  <w:bookmarkEnd w:id="105"/>
                  <w:bookmarkEnd w:id="106"/>
                  <w:r>
                    <w:rPr>
                      <w:noProof/>
                    </w:rPr>
                    <mc:AlternateContent>
                      <mc:Choice Requires="wps">
                        <w:drawing>
                          <wp:inline distT="0" distB="0" distL="0" distR="0" wp14:anchorId="34CE8CAB" wp14:editId="394BBD25">
                            <wp:extent cx="304800" cy="304800"/>
                            <wp:effectExtent l="0" t="0" r="0" b="0"/>
                            <wp:docPr id="1941227921"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A188C" id="Rectangle 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D05098" w14:textId="77777777" w:rsidR="00556141" w:rsidRDefault="00556141">
                  <w:pPr>
                    <w:pStyle w:val="contenthead3"/>
                  </w:pPr>
                  <w:bookmarkStart w:id="107" w:name="2486123"/>
                  <w:bookmarkEnd w:id="107"/>
                  <w:r>
                    <w:t>Apparent Volume of Distribution at Steady State</w:t>
                  </w:r>
                </w:p>
                <w:p w14:paraId="24B0C9C9" w14:textId="77777777" w:rsidR="00556141" w:rsidRDefault="00556141">
                  <w:pPr>
                    <w:pStyle w:val="contentbody"/>
                  </w:pPr>
                  <w:bookmarkStart w:id="108" w:name="2486124"/>
                  <w:bookmarkEnd w:id="108"/>
                  <w:r>
                    <w:t>At steady-state conditions, the rate of drug entry into the tissue compartment from the central compartment is equal to the rate of drug exit from the tissue compartment into the central compartment. These rates of drug transfer are described by the following expressions:</w:t>
                  </w:r>
                </w:p>
                <w:p w14:paraId="2D39F385" w14:textId="58095DEA" w:rsidR="00556141" w:rsidRDefault="00556141">
                  <w:pPr>
                    <w:pStyle w:val="contentbody"/>
                  </w:pPr>
                  <w:bookmarkStart w:id="109" w:name="2486318"/>
                  <w:bookmarkStart w:id="110" w:name="2486125"/>
                  <w:bookmarkEnd w:id="109"/>
                  <w:bookmarkEnd w:id="110"/>
                  <w:r>
                    <w:rPr>
                      <w:noProof/>
                    </w:rPr>
                    <mc:AlternateContent>
                      <mc:Choice Requires="wps">
                        <w:drawing>
                          <wp:inline distT="0" distB="0" distL="0" distR="0" wp14:anchorId="72F74D31" wp14:editId="2E42E9A0">
                            <wp:extent cx="304800" cy="304800"/>
                            <wp:effectExtent l="0" t="0" r="0" b="0"/>
                            <wp:docPr id="1730832167"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54D9C" id="Rectangle 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400471" w14:textId="77777777" w:rsidR="00556141" w:rsidRDefault="00556141">
                  <w:pPr>
                    <w:pStyle w:val="contentbody"/>
                  </w:pPr>
                  <w:bookmarkStart w:id="111" w:name="2486127"/>
                  <w:bookmarkEnd w:id="111"/>
                  <w:r>
                    <w:t xml:space="preserve">Because the amount of drug in the central compartment, </w:t>
                  </w:r>
                  <w:r>
                    <w:rPr>
                      <w:i/>
                      <w:iCs/>
                    </w:rPr>
                    <w:t>D</w:t>
                  </w:r>
                  <w:r>
                    <w:t xml:space="preserve"> </w:t>
                  </w:r>
                  <w:r>
                    <w:rPr>
                      <w:vertAlign w:val="subscript"/>
                    </w:rPr>
                    <w:t>p</w:t>
                  </w:r>
                  <w:r>
                    <w:t xml:space="preserve">, is equal to </w:t>
                  </w:r>
                  <w:r>
                    <w:rPr>
                      <w:i/>
                      <w:iCs/>
                    </w:rPr>
                    <w:t>V</w:t>
                  </w:r>
                  <w:r>
                    <w:t xml:space="preserve"> </w:t>
                  </w:r>
                  <w:r>
                    <w:rPr>
                      <w:vertAlign w:val="subscript"/>
                    </w:rPr>
                    <w:t>p</w:t>
                  </w:r>
                  <w:r>
                    <w:rPr>
                      <w:i/>
                      <w:iCs/>
                    </w:rPr>
                    <w:t>C</w:t>
                  </w:r>
                  <w:r>
                    <w:t xml:space="preserve"> </w:t>
                  </w:r>
                  <w:r>
                    <w:rPr>
                      <w:vertAlign w:val="subscript"/>
                    </w:rPr>
                    <w:t>p</w:t>
                  </w:r>
                  <w:r>
                    <w:t>, by substitution in the above equation,</w:t>
                  </w:r>
                </w:p>
                <w:p w14:paraId="69F735B2" w14:textId="169587E0" w:rsidR="00556141" w:rsidRDefault="00556141">
                  <w:pPr>
                    <w:pStyle w:val="contentbody"/>
                  </w:pPr>
                  <w:bookmarkStart w:id="112" w:name="2486320"/>
                  <w:bookmarkStart w:id="113" w:name="2486128"/>
                  <w:bookmarkEnd w:id="112"/>
                  <w:bookmarkEnd w:id="113"/>
                  <w:r>
                    <w:rPr>
                      <w:noProof/>
                    </w:rPr>
                    <mc:AlternateContent>
                      <mc:Choice Requires="wps">
                        <w:drawing>
                          <wp:inline distT="0" distB="0" distL="0" distR="0" wp14:anchorId="14593F2C" wp14:editId="4A7F7418">
                            <wp:extent cx="304800" cy="304800"/>
                            <wp:effectExtent l="0" t="0" r="0" b="0"/>
                            <wp:docPr id="1473553023"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9BBDE" id="Rectangle 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D3D4EA" w14:textId="77777777" w:rsidR="00556141" w:rsidRDefault="00556141">
                  <w:pPr>
                    <w:pStyle w:val="contentbody"/>
                  </w:pPr>
                  <w:bookmarkStart w:id="114" w:name="2486129"/>
                  <w:bookmarkEnd w:id="114"/>
                  <w:r>
                    <w:t xml:space="preserve">The total amount of drug in the body at steady state is equal to the sum of the amount of drug in the tissue compartment, </w:t>
                  </w:r>
                  <w:r>
                    <w:rPr>
                      <w:i/>
                      <w:iCs/>
                    </w:rPr>
                    <w:t>D</w:t>
                  </w:r>
                  <w:r>
                    <w:t xml:space="preserve"> </w:t>
                  </w:r>
                  <w:r>
                    <w:rPr>
                      <w:vertAlign w:val="subscript"/>
                    </w:rPr>
                    <w:t>t</w:t>
                  </w:r>
                  <w:r>
                    <w:t xml:space="preserve">, and the amount of drug in the central compartment, </w:t>
                  </w:r>
                  <w:r>
                    <w:rPr>
                      <w:i/>
                      <w:iCs/>
                    </w:rPr>
                    <w:t>D</w:t>
                  </w:r>
                  <w:r>
                    <w:t xml:space="preserve"> </w:t>
                  </w:r>
                  <w:r>
                    <w:rPr>
                      <w:vertAlign w:val="subscript"/>
                    </w:rPr>
                    <w:t>p</w:t>
                  </w:r>
                  <w:r>
                    <w:t>. Therefore, the apparent volume of drug at steady state (</w:t>
                  </w:r>
                  <w:r>
                    <w:rPr>
                      <w:i/>
                      <w:iCs/>
                    </w:rPr>
                    <w:t>V</w:t>
                  </w:r>
                  <w:r>
                    <w:t xml:space="preserve"> </w:t>
                  </w:r>
                  <w:r>
                    <w:rPr>
                      <w:vertAlign w:val="subscript"/>
                    </w:rPr>
                    <w:t>D</w:t>
                  </w:r>
                  <w:r>
                    <w:t>)</w:t>
                  </w:r>
                  <w:r>
                    <w:rPr>
                      <w:vertAlign w:val="subscript"/>
                    </w:rPr>
                    <w:t>ss</w:t>
                  </w:r>
                  <w:r>
                    <w:t xml:space="preserve"> may be calculated by dividing the total amount of drug in the body by the concentration of drug in the central compartment at steady state:</w:t>
                  </w:r>
                </w:p>
                <w:p w14:paraId="189BFA63" w14:textId="64C08B16" w:rsidR="00556141" w:rsidRDefault="00556141">
                  <w:pPr>
                    <w:pStyle w:val="contentbody"/>
                  </w:pPr>
                  <w:bookmarkStart w:id="115" w:name="2486321"/>
                  <w:bookmarkStart w:id="116" w:name="2486130"/>
                  <w:bookmarkEnd w:id="115"/>
                  <w:bookmarkEnd w:id="116"/>
                  <w:r>
                    <w:rPr>
                      <w:noProof/>
                    </w:rPr>
                    <mc:AlternateContent>
                      <mc:Choice Requires="wps">
                        <w:drawing>
                          <wp:inline distT="0" distB="0" distL="0" distR="0" wp14:anchorId="3ED943E4" wp14:editId="52DF8A11">
                            <wp:extent cx="304800" cy="304800"/>
                            <wp:effectExtent l="0" t="0" r="0" b="0"/>
                            <wp:docPr id="1428484223"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65DF7" id="Rectangle 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E17897" w14:textId="77777777" w:rsidR="00556141" w:rsidRDefault="00556141">
                  <w:pPr>
                    <w:pStyle w:val="contentbody"/>
                  </w:pPr>
                  <w:bookmarkStart w:id="117" w:name="2486131"/>
                  <w:bookmarkEnd w:id="117"/>
                  <w:r>
                    <w:t xml:space="preserve">By substitution of Equation 4.30 into Equation 4.31, and by expressing </w:t>
                  </w:r>
                  <w:r>
                    <w:rPr>
                      <w:i/>
                      <w:iCs/>
                    </w:rPr>
                    <w:t>D</w:t>
                  </w:r>
                  <w:r>
                    <w:t xml:space="preserve"> </w:t>
                  </w:r>
                  <w:r>
                    <w:rPr>
                      <w:vertAlign w:val="subscript"/>
                    </w:rPr>
                    <w:t>p</w:t>
                  </w:r>
                  <w:r>
                    <w:t xml:space="preserve"> as </w:t>
                  </w:r>
                  <w:r>
                    <w:rPr>
                      <w:i/>
                      <w:iCs/>
                    </w:rPr>
                    <w:t>V</w:t>
                  </w:r>
                  <w:r>
                    <w:t xml:space="preserve"> </w:t>
                  </w:r>
                  <w:r>
                    <w:rPr>
                      <w:vertAlign w:val="subscript"/>
                    </w:rPr>
                    <w:t>p</w:t>
                  </w:r>
                  <w:r>
                    <w:rPr>
                      <w:i/>
                      <w:iCs/>
                    </w:rPr>
                    <w:t>C</w:t>
                  </w:r>
                  <w:r>
                    <w:t xml:space="preserve"> </w:t>
                  </w:r>
                  <w:r>
                    <w:rPr>
                      <w:vertAlign w:val="subscript"/>
                    </w:rPr>
                    <w:t>p</w:t>
                  </w:r>
                  <w:r>
                    <w:t>, a more useful equation for the calculation of (</w:t>
                  </w:r>
                  <w:r>
                    <w:rPr>
                      <w:i/>
                      <w:iCs/>
                    </w:rPr>
                    <w:t>V</w:t>
                  </w:r>
                  <w:r>
                    <w:t xml:space="preserve"> </w:t>
                  </w:r>
                  <w:r>
                    <w:rPr>
                      <w:vertAlign w:val="subscript"/>
                    </w:rPr>
                    <w:t>D</w:t>
                  </w:r>
                  <w:r>
                    <w:t>)</w:t>
                  </w:r>
                  <w:r>
                    <w:rPr>
                      <w:vertAlign w:val="subscript"/>
                    </w:rPr>
                    <w:t>ss</w:t>
                  </w:r>
                  <w:r>
                    <w:t xml:space="preserve"> is obtained:</w:t>
                  </w:r>
                </w:p>
                <w:p w14:paraId="0EDBFD6B" w14:textId="13FB91D5" w:rsidR="00556141" w:rsidRDefault="00556141">
                  <w:pPr>
                    <w:pStyle w:val="contentbody"/>
                  </w:pPr>
                  <w:bookmarkStart w:id="118" w:name="2486322"/>
                  <w:bookmarkStart w:id="119" w:name="2486132"/>
                  <w:bookmarkEnd w:id="118"/>
                  <w:bookmarkEnd w:id="119"/>
                  <w:r>
                    <w:rPr>
                      <w:noProof/>
                    </w:rPr>
                    <mc:AlternateContent>
                      <mc:Choice Requires="wps">
                        <w:drawing>
                          <wp:inline distT="0" distB="0" distL="0" distR="0" wp14:anchorId="300E518E" wp14:editId="44588BE4">
                            <wp:extent cx="304800" cy="304800"/>
                            <wp:effectExtent l="0" t="0" r="0" b="0"/>
                            <wp:docPr id="53685011"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2EF1D" id="Rectangle 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95AD11" w14:textId="77777777" w:rsidR="00556141" w:rsidRDefault="00556141">
                  <w:pPr>
                    <w:pStyle w:val="contentbody"/>
                  </w:pPr>
                  <w:bookmarkStart w:id="120" w:name="2486133"/>
                  <w:bookmarkEnd w:id="120"/>
                  <w:r>
                    <w:t>which reduces to</w:t>
                  </w:r>
                </w:p>
                <w:p w14:paraId="111D2BB0" w14:textId="287CA3B0" w:rsidR="00556141" w:rsidRDefault="00556141">
                  <w:pPr>
                    <w:pStyle w:val="contentbody"/>
                  </w:pPr>
                  <w:bookmarkStart w:id="121" w:name="2486323"/>
                  <w:bookmarkStart w:id="122" w:name="2486134"/>
                  <w:bookmarkEnd w:id="121"/>
                  <w:bookmarkEnd w:id="122"/>
                  <w:r>
                    <w:rPr>
                      <w:noProof/>
                    </w:rPr>
                    <mc:AlternateContent>
                      <mc:Choice Requires="wps">
                        <w:drawing>
                          <wp:inline distT="0" distB="0" distL="0" distR="0" wp14:anchorId="305B7241" wp14:editId="1097BEBA">
                            <wp:extent cx="304800" cy="304800"/>
                            <wp:effectExtent l="0" t="0" r="0" b="0"/>
                            <wp:docPr id="111603446"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B6687" id="Rectangle 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21AF7E" w14:textId="77777777" w:rsidR="00556141" w:rsidRDefault="00556141">
                  <w:pPr>
                    <w:pStyle w:val="contentbody"/>
                  </w:pPr>
                  <w:bookmarkStart w:id="123" w:name="2486135"/>
                  <w:bookmarkEnd w:id="123"/>
                  <w:r>
                    <w:t>In practice, Equation 4.33 is used to calculate (</w:t>
                  </w:r>
                  <w:r>
                    <w:rPr>
                      <w:i/>
                      <w:iCs/>
                    </w:rPr>
                    <w:t>V</w:t>
                  </w:r>
                  <w:r>
                    <w:t xml:space="preserve"> </w:t>
                  </w:r>
                  <w:r>
                    <w:rPr>
                      <w:vertAlign w:val="subscript"/>
                    </w:rPr>
                    <w:t>D</w:t>
                  </w:r>
                  <w:r>
                    <w:t>)</w:t>
                  </w:r>
                  <w:r>
                    <w:rPr>
                      <w:vertAlign w:val="subscript"/>
                    </w:rPr>
                    <w:t>ss</w:t>
                  </w:r>
                  <w:r>
                    <w:t>. The (</w:t>
                  </w:r>
                  <w:r>
                    <w:rPr>
                      <w:i/>
                      <w:iCs/>
                    </w:rPr>
                    <w:t>V</w:t>
                  </w:r>
                  <w:r>
                    <w:t xml:space="preserve"> </w:t>
                  </w:r>
                  <w:r>
                    <w:rPr>
                      <w:vertAlign w:val="subscript"/>
                    </w:rPr>
                    <w:t>D</w:t>
                  </w:r>
                  <w:r>
                    <w:t>)</w:t>
                  </w:r>
                  <w:r>
                    <w:rPr>
                      <w:vertAlign w:val="subscript"/>
                    </w:rPr>
                    <w:t>ss</w:t>
                  </w:r>
                  <w:r>
                    <w:t xml:space="preserve"> is a function of the transfer constants, </w:t>
                  </w:r>
                  <w:r>
                    <w:rPr>
                      <w:i/>
                      <w:iCs/>
                    </w:rPr>
                    <w:t>k</w:t>
                  </w:r>
                  <w:r>
                    <w:t xml:space="preserve"> </w:t>
                  </w:r>
                  <w:r>
                    <w:rPr>
                      <w:vertAlign w:val="subscript"/>
                    </w:rPr>
                    <w:t xml:space="preserve">12 </w:t>
                  </w:r>
                  <w:r>
                    <w:t xml:space="preserve">and </w:t>
                  </w:r>
                  <w:r>
                    <w:rPr>
                      <w:i/>
                      <w:iCs/>
                    </w:rPr>
                    <w:t>k</w:t>
                  </w:r>
                  <w:r>
                    <w:t xml:space="preserve"> </w:t>
                  </w:r>
                  <w:r>
                    <w:rPr>
                      <w:vertAlign w:val="subscript"/>
                    </w:rPr>
                    <w:t>21</w:t>
                  </w:r>
                  <w:r>
                    <w:t>, which represent the rate constants of drug going into and out of the tissue compartment, respectively. The magnitude of (</w:t>
                  </w:r>
                  <w:r>
                    <w:rPr>
                      <w:i/>
                      <w:iCs/>
                    </w:rPr>
                    <w:t>V</w:t>
                  </w:r>
                  <w:r>
                    <w:t xml:space="preserve"> </w:t>
                  </w:r>
                  <w:r>
                    <w:rPr>
                      <w:vertAlign w:val="subscript"/>
                    </w:rPr>
                    <w:t>D</w:t>
                  </w:r>
                  <w:r>
                    <w:t>)</w:t>
                  </w:r>
                  <w:r>
                    <w:rPr>
                      <w:vertAlign w:val="subscript"/>
                    </w:rPr>
                    <w:t>ss</w:t>
                  </w:r>
                  <w:r>
                    <w:t xml:space="preserve"> is dependent on the hemodynamic factors responsible for drug distribution and on the physical properties of the drug, properties which, in turn, determine the relative amount of intra- and extravascular drug remaining in the body.</w:t>
                  </w:r>
                </w:p>
                <w:p w14:paraId="52564339" w14:textId="77777777" w:rsidR="00556141" w:rsidRDefault="00556141">
                  <w:pPr>
                    <w:pStyle w:val="contenthead3"/>
                  </w:pPr>
                  <w:bookmarkStart w:id="124" w:name="2486136"/>
                  <w:bookmarkEnd w:id="124"/>
                  <w:r>
                    <w:t>Extrapolated Volume of Distribution</w:t>
                  </w:r>
                </w:p>
                <w:p w14:paraId="525DC25D" w14:textId="77777777" w:rsidR="00556141" w:rsidRDefault="00556141">
                  <w:pPr>
                    <w:pStyle w:val="contentbody"/>
                  </w:pPr>
                  <w:bookmarkStart w:id="125" w:name="2486137"/>
                  <w:bookmarkEnd w:id="125"/>
                  <w:r>
                    <w:t>The extrapolated volume of distribution (</w:t>
                  </w:r>
                  <w:r>
                    <w:rPr>
                      <w:i/>
                      <w:iCs/>
                    </w:rPr>
                    <w:t>V</w:t>
                  </w:r>
                  <w:r>
                    <w:t xml:space="preserve"> </w:t>
                  </w:r>
                  <w:r>
                    <w:rPr>
                      <w:vertAlign w:val="subscript"/>
                    </w:rPr>
                    <w:t>D</w:t>
                  </w:r>
                  <w:r>
                    <w:t>)</w:t>
                  </w:r>
                  <w:r>
                    <w:rPr>
                      <w:vertAlign w:val="subscript"/>
                    </w:rPr>
                    <w:t>exp</w:t>
                  </w:r>
                  <w:r>
                    <w:t xml:space="preserve"> is calculated by the following equation:</w:t>
                  </w:r>
                </w:p>
                <w:p w14:paraId="71F64FC3" w14:textId="4191F581" w:rsidR="00556141" w:rsidRDefault="00556141">
                  <w:pPr>
                    <w:pStyle w:val="contentbody"/>
                  </w:pPr>
                  <w:bookmarkStart w:id="126" w:name="2486324"/>
                  <w:bookmarkStart w:id="127" w:name="2486138"/>
                  <w:bookmarkEnd w:id="126"/>
                  <w:bookmarkEnd w:id="127"/>
                  <w:r>
                    <w:rPr>
                      <w:noProof/>
                    </w:rPr>
                    <mc:AlternateContent>
                      <mc:Choice Requires="wps">
                        <w:drawing>
                          <wp:inline distT="0" distB="0" distL="0" distR="0" wp14:anchorId="3F3AEDE5" wp14:editId="487B69AD">
                            <wp:extent cx="304800" cy="304800"/>
                            <wp:effectExtent l="0" t="0" r="0" b="0"/>
                            <wp:docPr id="801522586"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77CDA" id="Rectangle 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5ECDD9" w14:textId="77777777" w:rsidR="00556141" w:rsidRDefault="00556141">
                  <w:pPr>
                    <w:pStyle w:val="contentbody"/>
                  </w:pPr>
                  <w:bookmarkStart w:id="128" w:name="2486139"/>
                  <w:bookmarkEnd w:id="128"/>
                  <w:r>
                    <w:lastRenderedPageBreak/>
                    <w:t xml:space="preserve">where </w:t>
                  </w:r>
                  <w:r>
                    <w:rPr>
                      <w:i/>
                      <w:iCs/>
                    </w:rPr>
                    <w:t>B</w:t>
                  </w:r>
                  <w:r>
                    <w:t xml:space="preserve"> is the </w:t>
                  </w:r>
                  <w:r>
                    <w:rPr>
                      <w:i/>
                      <w:iCs/>
                    </w:rPr>
                    <w:t>y</w:t>
                  </w:r>
                  <w:r>
                    <w:t xml:space="preserve"> intercept obtained by extrapolation of the </w:t>
                  </w:r>
                  <w:r>
                    <w:rPr>
                      <w:i/>
                      <w:iCs/>
                    </w:rPr>
                    <w:t>b</w:t>
                  </w:r>
                  <w:r>
                    <w:t xml:space="preserve"> phase of the plasma level curve to the </w:t>
                  </w:r>
                  <w:r>
                    <w:rPr>
                      <w:i/>
                      <w:iCs/>
                    </w:rPr>
                    <w:t>y</w:t>
                  </w:r>
                  <w:r>
                    <w:t xml:space="preserve"> axis (). Because the </w:t>
                  </w:r>
                  <w:r>
                    <w:rPr>
                      <w:i/>
                      <w:iCs/>
                    </w:rPr>
                    <w:t>y</w:t>
                  </w:r>
                  <w:r>
                    <w:t xml:space="preserve"> intercept is a hybrid constant, as shown by Equation 4.14, (</w:t>
                  </w:r>
                  <w:r>
                    <w:rPr>
                      <w:i/>
                      <w:iCs/>
                    </w:rPr>
                    <w:t>V</w:t>
                  </w:r>
                  <w:r>
                    <w:t xml:space="preserve"> </w:t>
                  </w:r>
                  <w:r>
                    <w:rPr>
                      <w:vertAlign w:val="subscript"/>
                    </w:rPr>
                    <w:t>D</w:t>
                  </w:r>
                  <w:r>
                    <w:t>)</w:t>
                  </w:r>
                  <w:r>
                    <w:rPr>
                      <w:vertAlign w:val="subscript"/>
                    </w:rPr>
                    <w:t>exp</w:t>
                  </w:r>
                  <w:r>
                    <w:t xml:space="preserve"> may also be calculated by the following expression:</w:t>
                  </w:r>
                </w:p>
                <w:p w14:paraId="7D0BC7C8" w14:textId="48934FF6" w:rsidR="00556141" w:rsidRDefault="00556141">
                  <w:pPr>
                    <w:pStyle w:val="contentbody"/>
                  </w:pPr>
                  <w:bookmarkStart w:id="129" w:name="2486325"/>
                  <w:bookmarkStart w:id="130" w:name="2486140"/>
                  <w:bookmarkEnd w:id="129"/>
                  <w:bookmarkEnd w:id="130"/>
                  <w:r>
                    <w:rPr>
                      <w:noProof/>
                    </w:rPr>
                    <mc:AlternateContent>
                      <mc:Choice Requires="wps">
                        <w:drawing>
                          <wp:inline distT="0" distB="0" distL="0" distR="0" wp14:anchorId="52C55291" wp14:editId="0C37826D">
                            <wp:extent cx="304800" cy="304800"/>
                            <wp:effectExtent l="0" t="0" r="0" b="0"/>
                            <wp:docPr id="2137859109"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96E40" id="Rectangl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FC4E93" w14:textId="77777777" w:rsidR="00556141" w:rsidRDefault="00556141">
                  <w:pPr>
                    <w:pStyle w:val="contentbody"/>
                  </w:pPr>
                  <w:bookmarkStart w:id="131" w:name="2486141"/>
                  <w:bookmarkEnd w:id="131"/>
                  <w:r>
                    <w:t xml:space="preserve">This equation shows that a change in the distribution of a drug, which is observed by a change in the value for </w:t>
                  </w:r>
                  <w:r>
                    <w:rPr>
                      <w:i/>
                      <w:iCs/>
                    </w:rPr>
                    <w:t>V</w:t>
                  </w:r>
                  <w:r>
                    <w:t xml:space="preserve"> </w:t>
                  </w:r>
                  <w:r>
                    <w:rPr>
                      <w:vertAlign w:val="subscript"/>
                    </w:rPr>
                    <w:t>p</w:t>
                  </w:r>
                  <w:r>
                    <w:t>, will be reflected in a change in (</w:t>
                  </w:r>
                  <w:r>
                    <w:rPr>
                      <w:i/>
                      <w:iCs/>
                    </w:rPr>
                    <w:t>V</w:t>
                  </w:r>
                  <w:r>
                    <w:t xml:space="preserve"> </w:t>
                  </w:r>
                  <w:r>
                    <w:rPr>
                      <w:vertAlign w:val="subscript"/>
                    </w:rPr>
                    <w:t>D</w:t>
                  </w:r>
                  <w:r>
                    <w:t>)</w:t>
                  </w:r>
                  <w:r>
                    <w:rPr>
                      <w:vertAlign w:val="subscript"/>
                    </w:rPr>
                    <w:t>exp</w:t>
                  </w:r>
                  <w:r>
                    <w:t>.</w:t>
                  </w:r>
                </w:p>
                <w:p w14:paraId="355F2E40" w14:textId="77777777" w:rsidR="00556141" w:rsidRDefault="00556141">
                  <w:pPr>
                    <w:pStyle w:val="contenthead3"/>
                  </w:pPr>
                  <w:bookmarkStart w:id="132" w:name="2486142"/>
                  <w:bookmarkEnd w:id="132"/>
                  <w:r>
                    <w:t>Volume of Distribution by Area</w:t>
                  </w:r>
                </w:p>
                <w:p w14:paraId="1F7E26B7" w14:textId="2D3A3F86" w:rsidR="00556141" w:rsidRDefault="00556141">
                  <w:pPr>
                    <w:pStyle w:val="contentbody"/>
                  </w:pPr>
                  <w:bookmarkStart w:id="133" w:name="2486143"/>
                  <w:bookmarkEnd w:id="133"/>
                  <w:r>
                    <w:t>The volume of distribution by area (</w:t>
                  </w:r>
                  <w:r>
                    <w:rPr>
                      <w:i/>
                      <w:iCs/>
                    </w:rPr>
                    <w:t>V</w:t>
                  </w:r>
                  <w:r>
                    <w:t xml:space="preserve"> </w:t>
                  </w:r>
                  <w:r>
                    <w:rPr>
                      <w:vertAlign w:val="subscript"/>
                    </w:rPr>
                    <w:t>D</w:t>
                  </w:r>
                  <w:r>
                    <w:t>)</w:t>
                  </w:r>
                  <w:r>
                    <w:rPr>
                      <w:vertAlign w:val="subscript"/>
                    </w:rPr>
                    <w:t>area</w:t>
                  </w:r>
                  <w:r>
                    <w:t>, also known as (</w:t>
                  </w:r>
                  <w:r>
                    <w:rPr>
                      <w:i/>
                      <w:iCs/>
                    </w:rPr>
                    <w:t>V</w:t>
                  </w:r>
                  <w:r>
                    <w:t xml:space="preserve"> </w:t>
                  </w:r>
                  <w:r>
                    <w:rPr>
                      <w:vertAlign w:val="subscript"/>
                    </w:rPr>
                    <w:t>D</w:t>
                  </w:r>
                  <w:r>
                    <w:t>)</w:t>
                  </w:r>
                  <w:r>
                    <w:rPr>
                      <w:noProof/>
                      <w:vertAlign w:val="subscript"/>
                    </w:rPr>
                    <mc:AlternateContent>
                      <mc:Choice Requires="wps">
                        <w:drawing>
                          <wp:inline distT="0" distB="0" distL="0" distR="0" wp14:anchorId="76FD5F7C" wp14:editId="6EB191FB">
                            <wp:extent cx="304800" cy="304800"/>
                            <wp:effectExtent l="0" t="0" r="0" b="0"/>
                            <wp:docPr id="2073341051"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65B39" id="Rectangle 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obtained through calculations similar to those used to find </w:t>
                  </w:r>
                  <w:r>
                    <w:rPr>
                      <w:i/>
                      <w:iCs/>
                    </w:rPr>
                    <w:t>V</w:t>
                  </w:r>
                  <w:r>
                    <w:t xml:space="preserve"> </w:t>
                  </w:r>
                  <w:r>
                    <w:rPr>
                      <w:vertAlign w:val="subscript"/>
                    </w:rPr>
                    <w:t>p</w:t>
                  </w:r>
                  <w:r>
                    <w:t xml:space="preserve">, except that the rate constant </w:t>
                  </w:r>
                  <w:r>
                    <w:rPr>
                      <w:i/>
                      <w:iCs/>
                    </w:rPr>
                    <w:t>b</w:t>
                  </w:r>
                  <w:r>
                    <w:t xml:space="preserve"> is used instead of the overall elimination rate constant </w:t>
                  </w:r>
                  <w:r>
                    <w:rPr>
                      <w:i/>
                      <w:iCs/>
                    </w:rPr>
                    <w:t>k</w:t>
                  </w:r>
                  <w:r>
                    <w:t>. (</w:t>
                  </w:r>
                  <w:r>
                    <w:rPr>
                      <w:i/>
                      <w:iCs/>
                    </w:rPr>
                    <w:t>V</w:t>
                  </w:r>
                  <w:r>
                    <w:t xml:space="preserve"> </w:t>
                  </w:r>
                  <w:r>
                    <w:rPr>
                      <w:vertAlign w:val="subscript"/>
                    </w:rPr>
                    <w:t>D</w:t>
                  </w:r>
                  <w:r>
                    <w:t>)</w:t>
                  </w:r>
                  <w:r>
                    <w:rPr>
                      <w:noProof/>
                      <w:vertAlign w:val="subscript"/>
                    </w:rPr>
                    <mc:AlternateContent>
                      <mc:Choice Requires="wps">
                        <w:drawing>
                          <wp:inline distT="0" distB="0" distL="0" distR="0" wp14:anchorId="71451DF1" wp14:editId="53EEBE9C">
                            <wp:extent cx="304800" cy="304800"/>
                            <wp:effectExtent l="0" t="0" r="0" b="0"/>
                            <wp:docPr id="373762457"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0DA50" id="Rectangle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often calculated from total body clearance divided by </w:t>
                  </w:r>
                  <w:r>
                    <w:rPr>
                      <w:i/>
                      <w:iCs/>
                    </w:rPr>
                    <w:t>b</w:t>
                  </w:r>
                  <w:r>
                    <w:t xml:space="preserve"> and is influenced by drug elimination in the beta, or </w:t>
                  </w:r>
                  <w:r>
                    <w:rPr>
                      <w:i/>
                      <w:iCs/>
                    </w:rPr>
                    <w:t>b</w:t>
                  </w:r>
                  <w:r>
                    <w:t xml:space="preserve"> phase. Reduced drug clearance from the body may increase AUC, such that (</w:t>
                  </w:r>
                  <w:r>
                    <w:rPr>
                      <w:i/>
                      <w:iCs/>
                    </w:rPr>
                    <w:t>V</w:t>
                  </w:r>
                  <w:r>
                    <w:t xml:space="preserve"> </w:t>
                  </w:r>
                  <w:r>
                    <w:rPr>
                      <w:vertAlign w:val="subscript"/>
                    </w:rPr>
                    <w:t>D</w:t>
                  </w:r>
                  <w:r>
                    <w:t>)</w:t>
                  </w:r>
                  <w:r>
                    <w:rPr>
                      <w:noProof/>
                      <w:vertAlign w:val="subscript"/>
                    </w:rPr>
                    <mc:AlternateContent>
                      <mc:Choice Requires="wps">
                        <w:drawing>
                          <wp:inline distT="0" distB="0" distL="0" distR="0" wp14:anchorId="039A972C" wp14:editId="3CD07064">
                            <wp:extent cx="304800" cy="304800"/>
                            <wp:effectExtent l="0" t="0" r="0" b="0"/>
                            <wp:docPr id="2092259754"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0F7E4" id="Rectangl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either reduced or unchanged depending on the value of </w:t>
                  </w:r>
                  <w:r>
                    <w:rPr>
                      <w:i/>
                      <w:iCs/>
                    </w:rPr>
                    <w:t>b</w:t>
                  </w:r>
                  <w:r>
                    <w:t>, as shown by Equation 4.35.</w:t>
                  </w:r>
                </w:p>
                <w:p w14:paraId="45A00FAD" w14:textId="078DA5A4" w:rsidR="00556141" w:rsidRDefault="00556141">
                  <w:pPr>
                    <w:pStyle w:val="contentbody"/>
                  </w:pPr>
                  <w:bookmarkStart w:id="134" w:name="2486326"/>
                  <w:bookmarkStart w:id="135" w:name="2486144"/>
                  <w:bookmarkEnd w:id="134"/>
                  <w:bookmarkEnd w:id="135"/>
                  <w:r>
                    <w:rPr>
                      <w:noProof/>
                    </w:rPr>
                    <mc:AlternateContent>
                      <mc:Choice Requires="wps">
                        <w:drawing>
                          <wp:inline distT="0" distB="0" distL="0" distR="0" wp14:anchorId="5CA626C2" wp14:editId="38AE08A0">
                            <wp:extent cx="304800" cy="304800"/>
                            <wp:effectExtent l="0" t="0" r="0" b="0"/>
                            <wp:docPr id="2117504014"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807A9" id="Rectangle 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86277B" w14:textId="77777777" w:rsidR="00556141" w:rsidRDefault="00556141">
                  <w:pPr>
                    <w:pStyle w:val="contentbody"/>
                  </w:pPr>
                  <w:bookmarkStart w:id="136" w:name="2486145"/>
                  <w:bookmarkEnd w:id="136"/>
                  <w:r>
                    <w:t xml:space="preserve">Generally, reduced drug clearance is accompanied by a decrease in the constant </w:t>
                  </w:r>
                  <w:r>
                    <w:rPr>
                      <w:i/>
                      <w:iCs/>
                    </w:rPr>
                    <w:t>b</w:t>
                  </w:r>
                  <w:r>
                    <w:t xml:space="preserve"> (ie, an increase in the </w:t>
                  </w:r>
                  <w:r>
                    <w:rPr>
                      <w:i/>
                      <w:iCs/>
                    </w:rPr>
                    <w:t>b</w:t>
                  </w:r>
                  <w:r>
                    <w:t xml:space="preserve"> elimination half-life). For example, in patients with renal dysfunction, the elimination half-life of the antibiotic amoxacillin is longer because renal clearance is reduced.</w:t>
                  </w:r>
                </w:p>
                <w:p w14:paraId="3DA56609" w14:textId="430E57F2" w:rsidR="00556141" w:rsidRDefault="00556141">
                  <w:pPr>
                    <w:pStyle w:val="contentbody"/>
                  </w:pPr>
                  <w:bookmarkStart w:id="137" w:name="2486146"/>
                  <w:bookmarkEnd w:id="137"/>
                  <w:r>
                    <w:t xml:space="preserve">Because total body clearance is equal to </w:t>
                  </w:r>
                  <w:r>
                    <w:rPr>
                      <w:i/>
                      <w:iCs/>
                    </w:rPr>
                    <w:t>D</w:t>
                  </w:r>
                  <w:r>
                    <w:t xml:space="preserve"> </w:t>
                  </w:r>
                  <w:r>
                    <w:rPr>
                      <w:vertAlign w:val="subscript"/>
                    </w:rPr>
                    <w:t>0</w:t>
                  </w:r>
                  <w:r>
                    <w:t>/[AUC]</w:t>
                  </w:r>
                  <w:r>
                    <w:rPr>
                      <w:vertAlign w:val="superscript"/>
                    </w:rPr>
                    <w:t>∞</w:t>
                  </w:r>
                  <w:r>
                    <w:t xml:space="preserve"> </w:t>
                  </w:r>
                  <w:r>
                    <w:rPr>
                      <w:vertAlign w:val="subscript"/>
                    </w:rPr>
                    <w:t>0</w:t>
                  </w:r>
                  <w:r>
                    <w:t>, (</w:t>
                  </w:r>
                  <w:r>
                    <w:rPr>
                      <w:i/>
                      <w:iCs/>
                    </w:rPr>
                    <w:t>V</w:t>
                  </w:r>
                  <w:r>
                    <w:t xml:space="preserve"> </w:t>
                  </w:r>
                  <w:r>
                    <w:rPr>
                      <w:vertAlign w:val="subscript"/>
                    </w:rPr>
                    <w:t>D</w:t>
                  </w:r>
                  <w:r>
                    <w:t>)</w:t>
                  </w:r>
                  <w:r>
                    <w:rPr>
                      <w:noProof/>
                      <w:vertAlign w:val="subscript"/>
                    </w:rPr>
                    <mc:AlternateContent>
                      <mc:Choice Requires="wps">
                        <w:drawing>
                          <wp:inline distT="0" distB="0" distL="0" distR="0" wp14:anchorId="6D29CE05" wp14:editId="0CA5788C">
                            <wp:extent cx="304800" cy="304800"/>
                            <wp:effectExtent l="0" t="0" r="0" b="0"/>
                            <wp:docPr id="564751322"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7832D" id="Rectangle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may be expressed in terms of clearance and the rate constant </w:t>
                  </w:r>
                  <w:r>
                    <w:rPr>
                      <w:i/>
                      <w:iCs/>
                    </w:rPr>
                    <w:t>b</w:t>
                  </w:r>
                  <w:r>
                    <w:t>:</w:t>
                  </w:r>
                </w:p>
                <w:p w14:paraId="0D4844A2" w14:textId="422312F2" w:rsidR="00556141" w:rsidRDefault="00556141">
                  <w:pPr>
                    <w:pStyle w:val="contentbody"/>
                  </w:pPr>
                  <w:bookmarkStart w:id="138" w:name="2486327"/>
                  <w:bookmarkStart w:id="139" w:name="2486147"/>
                  <w:bookmarkEnd w:id="138"/>
                  <w:bookmarkEnd w:id="139"/>
                  <w:r>
                    <w:rPr>
                      <w:noProof/>
                    </w:rPr>
                    <mc:AlternateContent>
                      <mc:Choice Requires="wps">
                        <w:drawing>
                          <wp:inline distT="0" distB="0" distL="0" distR="0" wp14:anchorId="77D18515" wp14:editId="45AE1331">
                            <wp:extent cx="304800" cy="304800"/>
                            <wp:effectExtent l="0" t="0" r="0" b="0"/>
                            <wp:docPr id="1219707599"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9237D" id="Rectangle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7DBAC4" w14:textId="77777777" w:rsidR="00556141" w:rsidRDefault="00556141">
                  <w:pPr>
                    <w:pStyle w:val="contentbody"/>
                  </w:pPr>
                  <w:bookmarkStart w:id="140" w:name="2486148"/>
                  <w:bookmarkEnd w:id="140"/>
                  <w:r>
                    <w:t xml:space="preserve">By substitution of </w:t>
                  </w:r>
                  <w:r>
                    <w:rPr>
                      <w:i/>
                      <w:iCs/>
                    </w:rPr>
                    <w:t>kV</w:t>
                  </w:r>
                  <w:r>
                    <w:t xml:space="preserve"> </w:t>
                  </w:r>
                  <w:r>
                    <w:rPr>
                      <w:vertAlign w:val="subscript"/>
                    </w:rPr>
                    <w:t>p</w:t>
                  </w:r>
                  <w:r>
                    <w:t xml:space="preserve"> for clearance in Equation 4.37, one obtains:</w:t>
                  </w:r>
                </w:p>
                <w:p w14:paraId="7A72C8B7" w14:textId="0B8BAEE8" w:rsidR="00556141" w:rsidRDefault="00556141">
                  <w:pPr>
                    <w:pStyle w:val="contentbody"/>
                  </w:pPr>
                  <w:bookmarkStart w:id="141" w:name="2486328"/>
                  <w:bookmarkStart w:id="142" w:name="2486149"/>
                  <w:bookmarkEnd w:id="141"/>
                  <w:bookmarkEnd w:id="142"/>
                  <w:r>
                    <w:rPr>
                      <w:noProof/>
                    </w:rPr>
                    <mc:AlternateContent>
                      <mc:Choice Requires="wps">
                        <w:drawing>
                          <wp:inline distT="0" distB="0" distL="0" distR="0" wp14:anchorId="3BEB6CCB" wp14:editId="4BA4C7A4">
                            <wp:extent cx="304800" cy="304800"/>
                            <wp:effectExtent l="0" t="0" r="0" b="0"/>
                            <wp:docPr id="1098794567"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847D1" id="Rectangl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8B1AAE" w14:textId="319BC754" w:rsidR="00556141" w:rsidRDefault="00556141">
                  <w:pPr>
                    <w:pStyle w:val="contentbody"/>
                  </w:pPr>
                  <w:bookmarkStart w:id="143" w:name="2486150"/>
                  <w:bookmarkEnd w:id="143"/>
                  <w:r>
                    <w:t xml:space="preserve">Theoretically, the value for </w:t>
                  </w:r>
                  <w:r>
                    <w:rPr>
                      <w:i/>
                      <w:iCs/>
                    </w:rPr>
                    <w:t>b</w:t>
                  </w:r>
                  <w:r>
                    <w:t xml:space="preserve"> may remain unchanged in patients showing various degrees of moderate renal impairment. In this case, a reduction in (</w:t>
                  </w:r>
                  <w:r>
                    <w:rPr>
                      <w:i/>
                      <w:iCs/>
                    </w:rPr>
                    <w:t>V</w:t>
                  </w:r>
                  <w:r>
                    <w:t xml:space="preserve"> </w:t>
                  </w:r>
                  <w:r>
                    <w:rPr>
                      <w:vertAlign w:val="subscript"/>
                    </w:rPr>
                    <w:t>D</w:t>
                  </w:r>
                  <w:r>
                    <w:t>)</w:t>
                  </w:r>
                  <w:r>
                    <w:rPr>
                      <w:noProof/>
                      <w:vertAlign w:val="subscript"/>
                    </w:rPr>
                    <mc:AlternateContent>
                      <mc:Choice Requires="wps">
                        <w:drawing>
                          <wp:inline distT="0" distB="0" distL="0" distR="0" wp14:anchorId="51B96C74" wp14:editId="23FCBAEC">
                            <wp:extent cx="304800" cy="304800"/>
                            <wp:effectExtent l="0" t="0" r="0" b="0"/>
                            <wp:docPr id="1239768445"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8731A" id="Rectangle 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may account for all the decrease in </w:t>
                  </w:r>
                  <w:r>
                    <w:rPr>
                      <w:i/>
                      <w:iCs/>
                    </w:rPr>
                    <w:t>Cl</w:t>
                  </w:r>
                  <w:r>
                    <w:t xml:space="preserve">, while </w:t>
                  </w:r>
                  <w:r>
                    <w:rPr>
                      <w:i/>
                      <w:iCs/>
                    </w:rPr>
                    <w:t>b</w:t>
                  </w:r>
                  <w:r>
                    <w:t xml:space="preserve"> is unchanged in Equation 4.38. Within the body, a redistribution of drug between the plasma and the tissue will mask the expected decline in </w:t>
                  </w:r>
                  <w:r>
                    <w:rPr>
                      <w:i/>
                      <w:iCs/>
                    </w:rPr>
                    <w:t>b</w:t>
                  </w:r>
                  <w:r>
                    <w:t xml:space="preserve">. The following example in two patients shows that the </w:t>
                  </w:r>
                  <w:r>
                    <w:rPr>
                      <w:i/>
                      <w:iCs/>
                    </w:rPr>
                    <w:t>b</w:t>
                  </w:r>
                  <w:r>
                    <w:t xml:space="preserve"> elimination rate constant remains the same, while the distributional rate constants change. Interestingly, </w:t>
                  </w:r>
                  <w:r>
                    <w:rPr>
                      <w:i/>
                      <w:iCs/>
                    </w:rPr>
                    <w:t>V</w:t>
                  </w:r>
                  <w:r>
                    <w:t xml:space="preserve"> </w:t>
                  </w:r>
                  <w:r>
                    <w:rPr>
                      <w:vertAlign w:val="subscript"/>
                    </w:rPr>
                    <w:t>p</w:t>
                  </w:r>
                  <w:r>
                    <w:t xml:space="preserve"> is unchanged, while (</w:t>
                  </w:r>
                  <w:r>
                    <w:rPr>
                      <w:i/>
                      <w:iCs/>
                    </w:rPr>
                    <w:t>V</w:t>
                  </w:r>
                  <w:r>
                    <w:t xml:space="preserve"> </w:t>
                  </w:r>
                  <w:r>
                    <w:rPr>
                      <w:vertAlign w:val="subscript"/>
                    </w:rPr>
                    <w:t>D</w:t>
                  </w:r>
                  <w:r>
                    <w:t>)</w:t>
                  </w:r>
                  <w:r>
                    <w:rPr>
                      <w:noProof/>
                      <w:vertAlign w:val="subscript"/>
                    </w:rPr>
                    <mc:AlternateContent>
                      <mc:Choice Requires="wps">
                        <w:drawing>
                          <wp:inline distT="0" distB="0" distL="0" distR="0" wp14:anchorId="51828DA2" wp14:editId="011AA3E9">
                            <wp:extent cx="304800" cy="304800"/>
                            <wp:effectExtent l="0" t="0" r="0" b="0"/>
                            <wp:docPr id="1322008312"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379A2" id="Rectangle 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would be greatly changed in the simulated example. An example of a drug showing constant </w:t>
                  </w:r>
                  <w:r>
                    <w:rPr>
                      <w:i/>
                      <w:iCs/>
                    </w:rPr>
                    <w:t>b</w:t>
                  </w:r>
                  <w:r>
                    <w:t xml:space="preserve"> slope while the renal function as measured by </w:t>
                  </w:r>
                  <w:r>
                    <w:rPr>
                      <w:i/>
                      <w:iCs/>
                    </w:rPr>
                    <w:t>Cl</w:t>
                  </w:r>
                  <w:r>
                    <w:t xml:space="preserve"> </w:t>
                  </w:r>
                  <w:r>
                    <w:rPr>
                      <w:vertAlign w:val="subscript"/>
                    </w:rPr>
                    <w:t>cr</w:t>
                  </w:r>
                  <w:r>
                    <w:t xml:space="preserve"> decreases from 107 to 56, 34, and 6 mL/min () has been observed with the aminoglycoside drug gentamicin in various patients after IV bolus dose (). Gentamicin follows polyexponential decline with a significant distributive phase. The following simulation problem may help to clarify the situation by changing </w:t>
                  </w:r>
                  <w:r>
                    <w:rPr>
                      <w:i/>
                      <w:iCs/>
                    </w:rPr>
                    <w:t>k</w:t>
                  </w:r>
                  <w:r>
                    <w:t xml:space="preserve"> and clearance while keeping </w:t>
                  </w:r>
                  <w:r>
                    <w:rPr>
                      <w:i/>
                      <w:iCs/>
                    </w:rPr>
                    <w:t>b</w:t>
                  </w:r>
                  <w:r>
                    <w:t xml:space="preserve"> constant.</w:t>
                  </w:r>
                </w:p>
                <w:p w14:paraId="138B44FA" w14:textId="77777777" w:rsidR="00556141" w:rsidRDefault="00556141">
                  <w:pPr>
                    <w:pStyle w:val="contenthead3"/>
                  </w:pPr>
                  <w:bookmarkStart w:id="144" w:name="2486151"/>
                  <w:bookmarkEnd w:id="144"/>
                  <w:r>
                    <w:t>Practice Problem</w:t>
                  </w:r>
                </w:p>
                <w:p w14:paraId="60E1F466" w14:textId="77777777" w:rsidR="00556141" w:rsidRDefault="00556141">
                  <w:pPr>
                    <w:pStyle w:val="contentbody"/>
                  </w:pPr>
                  <w:bookmarkStart w:id="145" w:name="2486152"/>
                  <w:bookmarkEnd w:id="145"/>
                  <w:r>
                    <w:lastRenderedPageBreak/>
                    <w:t xml:space="preserve">Simulated plasma drug concentration after an IV bolus dose (100 mg) of an antibiotic in two patients, Patient 1 with a normal </w:t>
                  </w:r>
                  <w:r>
                    <w:rPr>
                      <w:i/>
                      <w:iCs/>
                    </w:rPr>
                    <w:t>k</w:t>
                  </w:r>
                  <w:r>
                    <w:t xml:space="preserve">, and Patient 2 with a reduced </w:t>
                  </w:r>
                  <w:r>
                    <w:rPr>
                      <w:i/>
                      <w:iCs/>
                    </w:rPr>
                    <w:t>k</w:t>
                  </w:r>
                  <w:r>
                    <w:t>, is shown in . The data in the two patients were simulated with parameters using the two-compartment model equation. The parameters used are as follows:</w:t>
                  </w:r>
                </w:p>
                <w:p w14:paraId="5769D521" w14:textId="77777777" w:rsidR="00556141" w:rsidRDefault="00556141">
                  <w:pPr>
                    <w:ind w:left="720"/>
                  </w:pPr>
                  <w:r>
                    <w:t xml:space="preserve">Normal subject, </w:t>
                  </w:r>
                  <w:r>
                    <w:rPr>
                      <w:i/>
                      <w:iCs/>
                    </w:rPr>
                    <w:t>k</w:t>
                  </w:r>
                  <w:r>
                    <w:t xml:space="preserve"> = 0.3 hr</w:t>
                  </w:r>
                  <w:r>
                    <w:rPr>
                      <w:vertAlign w:val="superscript"/>
                    </w:rPr>
                    <w:t>–</w:t>
                  </w:r>
                  <w:r>
                    <w:t xml:space="preserve"> </w:t>
                  </w:r>
                  <w:r>
                    <w:rPr>
                      <w:vertAlign w:val="superscript"/>
                    </w:rPr>
                    <w:t>1</w:t>
                  </w:r>
                  <w:r>
                    <w:t xml:space="preserve">, </w:t>
                  </w:r>
                  <w:r>
                    <w:rPr>
                      <w:i/>
                      <w:iCs/>
                    </w:rPr>
                    <w:t>V</w:t>
                  </w:r>
                  <w:r>
                    <w:t xml:space="preserve"> </w:t>
                  </w:r>
                  <w:r>
                    <w:rPr>
                      <w:vertAlign w:val="subscript"/>
                    </w:rPr>
                    <w:t>p</w:t>
                  </w:r>
                  <w:r>
                    <w:t xml:space="preserve"> = 10 L, </w:t>
                  </w:r>
                  <w:r>
                    <w:rPr>
                      <w:i/>
                      <w:iCs/>
                    </w:rPr>
                    <w:t>Cl</w:t>
                  </w:r>
                  <w:r>
                    <w:t xml:space="preserve"> = 3 L/hr </w:t>
                  </w:r>
                </w:p>
                <w:p w14:paraId="1222384B" w14:textId="77777777" w:rsidR="00556141" w:rsidRDefault="00556141">
                  <w:pPr>
                    <w:ind w:left="720"/>
                  </w:pPr>
                  <w:r>
                    <w:rPr>
                      <w:i/>
                      <w:iCs/>
                    </w:rPr>
                    <w:t>k</w:t>
                  </w:r>
                  <w:r>
                    <w:t xml:space="preserve"> </w:t>
                  </w:r>
                  <w:r>
                    <w:rPr>
                      <w:vertAlign w:val="subscript"/>
                    </w:rPr>
                    <w:t>12</w:t>
                  </w:r>
                  <w:r>
                    <w:t xml:space="preserve"> = 5 hr</w:t>
                  </w:r>
                  <w:r>
                    <w:rPr>
                      <w:vertAlign w:val="superscript"/>
                    </w:rPr>
                    <w:t>–</w:t>
                  </w:r>
                  <w:r>
                    <w:t xml:space="preserve"> </w:t>
                  </w:r>
                  <w:r>
                    <w:rPr>
                      <w:vertAlign w:val="superscript"/>
                    </w:rPr>
                    <w:t>1</w:t>
                  </w:r>
                  <w:r>
                    <w:t xml:space="preserve">, </w:t>
                  </w:r>
                  <w:r>
                    <w:rPr>
                      <w:i/>
                      <w:iCs/>
                    </w:rPr>
                    <w:t>k</w:t>
                  </w:r>
                  <w:r>
                    <w:t xml:space="preserve"> </w:t>
                  </w:r>
                  <w:r>
                    <w:rPr>
                      <w:vertAlign w:val="subscript"/>
                    </w:rPr>
                    <w:t>21</w:t>
                  </w:r>
                  <w:r>
                    <w:t xml:space="preserve"> = 0.2 hr</w:t>
                  </w:r>
                  <w:r>
                    <w:rPr>
                      <w:vertAlign w:val="superscript"/>
                    </w:rPr>
                    <w:t>–</w:t>
                  </w:r>
                  <w:r>
                    <w:t xml:space="preserve"> </w:t>
                  </w:r>
                  <w:r>
                    <w:rPr>
                      <w:vertAlign w:val="superscript"/>
                    </w:rPr>
                    <w:t>1</w:t>
                  </w:r>
                  <w:r>
                    <w:t xml:space="preserve"> </w:t>
                  </w:r>
                </w:p>
                <w:p w14:paraId="45D65EE7" w14:textId="77777777" w:rsidR="00556141" w:rsidRDefault="00556141">
                  <w:pPr>
                    <w:ind w:left="720"/>
                  </w:pPr>
                  <w:r>
                    <w:t xml:space="preserve">Subject with moderate renal impairment, </w:t>
                  </w:r>
                  <w:r>
                    <w:rPr>
                      <w:i/>
                      <w:iCs/>
                    </w:rPr>
                    <w:t>k</w:t>
                  </w:r>
                  <w:r>
                    <w:t xml:space="preserve"> = 0.1 hr</w:t>
                  </w:r>
                  <w:r>
                    <w:rPr>
                      <w:vertAlign w:val="superscript"/>
                    </w:rPr>
                    <w:t>–</w:t>
                  </w:r>
                  <w:r>
                    <w:t xml:space="preserve"> </w:t>
                  </w:r>
                  <w:r>
                    <w:rPr>
                      <w:vertAlign w:val="superscript"/>
                    </w:rPr>
                    <w:t>1</w:t>
                  </w:r>
                  <w:r>
                    <w:t xml:space="preserve">, </w:t>
                  </w:r>
                  <w:r>
                    <w:rPr>
                      <w:i/>
                      <w:iCs/>
                    </w:rPr>
                    <w:t>V</w:t>
                  </w:r>
                  <w:r>
                    <w:t xml:space="preserve"> </w:t>
                  </w:r>
                  <w:r>
                    <w:rPr>
                      <w:vertAlign w:val="subscript"/>
                    </w:rPr>
                    <w:t>p</w:t>
                  </w:r>
                  <w:r>
                    <w:t xml:space="preserve"> = 10 L, </w:t>
                  </w:r>
                  <w:r>
                    <w:rPr>
                      <w:i/>
                      <w:iCs/>
                    </w:rPr>
                    <w:t>Cl</w:t>
                  </w:r>
                  <w:r>
                    <w:t xml:space="preserve"> = 1 L/hr </w:t>
                  </w:r>
                </w:p>
                <w:p w14:paraId="4C038C99" w14:textId="77777777" w:rsidR="00556141" w:rsidRDefault="00556141">
                  <w:pPr>
                    <w:ind w:left="720"/>
                  </w:pPr>
                  <w:r>
                    <w:rPr>
                      <w:i/>
                      <w:iCs/>
                    </w:rPr>
                    <w:t>k</w:t>
                  </w:r>
                  <w:r>
                    <w:t xml:space="preserve"> </w:t>
                  </w:r>
                  <w:r>
                    <w:rPr>
                      <w:vertAlign w:val="subscript"/>
                    </w:rPr>
                    <w:t>12</w:t>
                  </w:r>
                  <w:r>
                    <w:t xml:space="preserve"> = 2 hr</w:t>
                  </w:r>
                  <w:r>
                    <w:rPr>
                      <w:vertAlign w:val="superscript"/>
                    </w:rPr>
                    <w:t>–</w:t>
                  </w:r>
                  <w:r>
                    <w:t xml:space="preserve"> </w:t>
                  </w:r>
                  <w:r>
                    <w:rPr>
                      <w:vertAlign w:val="superscript"/>
                    </w:rPr>
                    <w:t>1</w:t>
                  </w:r>
                  <w:r>
                    <w:t xml:space="preserve">, </w:t>
                  </w:r>
                  <w:r>
                    <w:rPr>
                      <w:i/>
                      <w:iCs/>
                    </w:rPr>
                    <w:t>k</w:t>
                  </w:r>
                  <w:r>
                    <w:t xml:space="preserve"> </w:t>
                  </w:r>
                  <w:r>
                    <w:rPr>
                      <w:vertAlign w:val="subscript"/>
                    </w:rPr>
                    <w:t>21</w:t>
                  </w:r>
                  <w:r>
                    <w:t xml:space="preserve"> = 0.25 hr</w:t>
                  </w:r>
                  <w:r>
                    <w:rPr>
                      <w:vertAlign w:val="superscript"/>
                    </w:rPr>
                    <w:t>–</w:t>
                  </w:r>
                  <w:r>
                    <w:t xml:space="preserve"> </w:t>
                  </w:r>
                  <w:r>
                    <w:rPr>
                      <w:vertAlign w:val="superscript"/>
                    </w:rPr>
                    <w:t>1</w:t>
                  </w:r>
                  <w:r>
                    <w:t xml:space="preserv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1CF1A00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512121F4" w14:textId="77777777">
                          <w:trPr>
                            <w:tblCellSpacing w:w="7" w:type="dxa"/>
                          </w:trPr>
                          <w:tc>
                            <w:tcPr>
                              <w:tcW w:w="0" w:type="auto"/>
                              <w:shd w:val="clear" w:color="auto" w:fill="CCCCCC"/>
                              <w:vAlign w:val="center"/>
                              <w:hideMark/>
                            </w:tcPr>
                            <w:p w14:paraId="3F35AAC4" w14:textId="77777777" w:rsidR="00556141" w:rsidRDefault="00556141">
                              <w:pPr>
                                <w:pStyle w:val="tabletitle"/>
                              </w:pPr>
                              <w:bookmarkStart w:id="146" w:name="2486281"/>
                              <w:bookmarkEnd w:id="146"/>
                              <w:r>
                                <w:t>Figure 4-6.</w:t>
                              </w:r>
                            </w:p>
                            <w:p w14:paraId="08E4EB3C" w14:textId="77777777" w:rsidR="00556141" w:rsidRDefault="00556141"/>
                          </w:tc>
                        </w:tr>
                      </w:tbl>
                      <w:p w14:paraId="7F208094" w14:textId="77777777" w:rsidR="00556141" w:rsidRDefault="00556141"/>
                    </w:tc>
                  </w:tr>
                  <w:tr w:rsidR="00556141" w14:paraId="3D63A3F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01E82CCE" w14:textId="77777777">
                          <w:trPr>
                            <w:tblCellSpacing w:w="7" w:type="dxa"/>
                          </w:trPr>
                          <w:tc>
                            <w:tcPr>
                              <w:tcW w:w="0" w:type="auto"/>
                              <w:shd w:val="clear" w:color="auto" w:fill="FFFFFF"/>
                              <w:vAlign w:val="center"/>
                              <w:hideMark/>
                            </w:tcPr>
                            <w:p w14:paraId="7C952CE4" w14:textId="3829199F" w:rsidR="00556141" w:rsidRDefault="00556141">
                              <w:pPr>
                                <w:jc w:val="center"/>
                                <w:rPr>
                                  <w:sz w:val="24"/>
                                  <w:szCs w:val="24"/>
                                </w:rPr>
                              </w:pPr>
                              <w:r>
                                <w:rPr>
                                  <w:noProof/>
                                </w:rPr>
                                <mc:AlternateContent>
                                  <mc:Choice Requires="wps">
                                    <w:drawing>
                                      <wp:inline distT="0" distB="0" distL="0" distR="0" wp14:anchorId="1880647C" wp14:editId="4214EF32">
                                        <wp:extent cx="304800" cy="304800"/>
                                        <wp:effectExtent l="0" t="0" r="0" b="0"/>
                                        <wp:docPr id="243208593"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53C65" id="Rectangle 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2C11F3BD" w14:textId="77777777">
                          <w:trPr>
                            <w:tblCellSpacing w:w="7" w:type="dxa"/>
                          </w:trPr>
                          <w:tc>
                            <w:tcPr>
                              <w:tcW w:w="0" w:type="auto"/>
                              <w:shd w:val="clear" w:color="auto" w:fill="FFFFFF"/>
                              <w:vAlign w:val="center"/>
                              <w:hideMark/>
                            </w:tcPr>
                            <w:p w14:paraId="430B859F" w14:textId="77777777" w:rsidR="00556141" w:rsidRDefault="00556141">
                              <w:pPr>
                                <w:pStyle w:val="font11"/>
                              </w:pPr>
                              <w:bookmarkStart w:id="147" w:name="2486282"/>
                              <w:bookmarkEnd w:id="147"/>
                              <w:r>
                                <w:t xml:space="preserve">Simulation of plasma drug concentration after an IV bolus dose (100 mg) of an antibiotic in two patients, one with a normal </w:t>
                              </w:r>
                              <w:r>
                                <w:rPr>
                                  <w:i/>
                                  <w:iCs/>
                                </w:rPr>
                                <w:t>k</w:t>
                              </w:r>
                              <w:r>
                                <w:t xml:space="preserve"> (patient 1) and the other, reduced </w:t>
                              </w:r>
                              <w:r>
                                <w:rPr>
                                  <w:i/>
                                  <w:iCs/>
                                </w:rPr>
                                <w:t>k</w:t>
                              </w:r>
                              <w:r>
                                <w:t xml:space="preserve"> (patient 2).</w:t>
                              </w:r>
                            </w:p>
                          </w:tc>
                        </w:tr>
                      </w:tbl>
                      <w:p w14:paraId="47C0755F" w14:textId="77777777" w:rsidR="00556141" w:rsidRDefault="00556141"/>
                    </w:tc>
                  </w:tr>
                </w:tbl>
                <w:p w14:paraId="329513A4" w14:textId="77777777" w:rsidR="00556141" w:rsidRDefault="00556141">
                  <w:pPr>
                    <w:pStyle w:val="contentbody"/>
                  </w:pPr>
                  <w:bookmarkStart w:id="148" w:name="2486153"/>
                  <w:bookmarkEnd w:id="148"/>
                  <w:r>
                    <w:rPr>
                      <w:b/>
                      <w:bCs/>
                    </w:rPr>
                    <w:t>Questions</w:t>
                  </w:r>
                  <w:r>
                    <w:t xml:space="preserve"> </w:t>
                  </w:r>
                </w:p>
                <w:p w14:paraId="1C1F522C" w14:textId="77777777" w:rsidR="00556141" w:rsidRDefault="00556141">
                  <w:pPr>
                    <w:ind w:left="720"/>
                  </w:pPr>
                  <w:r>
                    <w:rPr>
                      <w:b/>
                      <w:bCs/>
                    </w:rPr>
                    <w:t xml:space="preserve">1. </w:t>
                  </w:r>
                  <w:r>
                    <w:t xml:space="preserve">Is a reduction in drug clearance generally accompanied by increase in plasma drug concentration, regardless of which compartment model the drug follows? </w:t>
                  </w:r>
                </w:p>
                <w:p w14:paraId="78A0226B" w14:textId="5D8C195A" w:rsidR="00556141" w:rsidRDefault="00556141">
                  <w:pPr>
                    <w:ind w:left="720"/>
                  </w:pPr>
                  <w:r>
                    <w:rPr>
                      <w:b/>
                      <w:bCs/>
                    </w:rPr>
                    <w:t>2.</w:t>
                  </w:r>
                  <w:r>
                    <w:t xml:space="preserve"> Is a reduction in drug clearance generally accompanied by an increase in the </w:t>
                  </w:r>
                  <w:r>
                    <w:rPr>
                      <w:i/>
                      <w:iCs/>
                    </w:rPr>
                    <w:t>b</w:t>
                  </w:r>
                  <w:r>
                    <w:t xml:space="preserve"> elimination half-life of a drug? [Find (</w:t>
                  </w:r>
                  <w:r>
                    <w:rPr>
                      <w:i/>
                      <w:iCs/>
                    </w:rPr>
                    <w:t>V</w:t>
                  </w:r>
                  <w:r>
                    <w:t xml:space="preserve"> </w:t>
                  </w:r>
                  <w:r>
                    <w:rPr>
                      <w:vertAlign w:val="subscript"/>
                    </w:rPr>
                    <w:t>D</w:t>
                  </w:r>
                  <w:r>
                    <w:t>)</w:t>
                  </w:r>
                  <w:r>
                    <w:rPr>
                      <w:noProof/>
                      <w:vertAlign w:val="subscript"/>
                    </w:rPr>
                    <mc:AlternateContent>
                      <mc:Choice Requires="wps">
                        <w:drawing>
                          <wp:inline distT="0" distB="0" distL="0" distR="0" wp14:anchorId="109B9A5A" wp14:editId="7976CC64">
                            <wp:extent cx="304800" cy="304800"/>
                            <wp:effectExtent l="0" t="0" r="0" b="0"/>
                            <wp:docPr id="975805173"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56BF7" id="Rectangle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using Eq. 4.37, then </w:t>
                  </w:r>
                  <w:r>
                    <w:rPr>
                      <w:i/>
                      <w:iCs/>
                    </w:rPr>
                    <w:t>b</w:t>
                  </w:r>
                  <w:r>
                    <w:t xml:space="preserve"> using Eq. 4.38.] </w:t>
                  </w:r>
                </w:p>
                <w:p w14:paraId="32556B2B" w14:textId="77777777" w:rsidR="00556141" w:rsidRDefault="00556141">
                  <w:pPr>
                    <w:ind w:left="720"/>
                  </w:pPr>
                  <w:r>
                    <w:rPr>
                      <w:b/>
                      <w:bCs/>
                    </w:rPr>
                    <w:t>3.</w:t>
                  </w:r>
                  <w:r>
                    <w:t xml:space="preserve"> Many antibiotics follow multiexponential plasma drug concentration profiles showing drug distribution into tissue compartments. In clinical pharmacokinetics, the terminal half-life is often determined with limited early data. Which patient has a greater terminal half-life based on the simulated data?</w:t>
                  </w:r>
                </w:p>
                <w:p w14:paraId="11FD13AF" w14:textId="77777777" w:rsidR="00556141" w:rsidRDefault="00556141">
                  <w:pPr>
                    <w:pStyle w:val="contentbody"/>
                  </w:pPr>
                  <w:bookmarkStart w:id="149" w:name="2486154"/>
                  <w:bookmarkEnd w:id="149"/>
                  <w:r>
                    <w:rPr>
                      <w:b/>
                      <w:bCs/>
                    </w:rPr>
                    <w:t>Solution</w:t>
                  </w:r>
                  <w:r>
                    <w:t xml:space="preserve"> </w:t>
                  </w:r>
                </w:p>
                <w:p w14:paraId="34E8E9DB" w14:textId="77777777" w:rsidR="00556141" w:rsidRDefault="00556141">
                  <w:pPr>
                    <w:ind w:left="720"/>
                  </w:pPr>
                  <w:r>
                    <w:rPr>
                      <w:b/>
                      <w:bCs/>
                    </w:rPr>
                    <w:t>1.</w:t>
                  </w:r>
                  <w:r>
                    <w:t xml:space="preserve"> A reduction in drug clearance results in less drug being removed from the body per unit time. Drug clearance is model independent. Therefore, the plasma drug concentration should be higher in subjects with decreased drug clearance compared to subjects with normal drug clearance, regardless of which compartment model is used (see ). </w:t>
                  </w:r>
                </w:p>
                <w:p w14:paraId="666042C2" w14:textId="38EA8544" w:rsidR="00556141" w:rsidRDefault="00556141">
                  <w:pPr>
                    <w:ind w:left="720"/>
                  </w:pPr>
                  <w:r>
                    <w:rPr>
                      <w:b/>
                      <w:bCs/>
                    </w:rPr>
                    <w:t>2.</w:t>
                  </w:r>
                  <w:r>
                    <w:t xml:space="preserve"> Clearance in the two-compartment model is affected by the elimination rate constant, </w:t>
                  </w:r>
                  <w:r>
                    <w:rPr>
                      <w:i/>
                      <w:iCs/>
                    </w:rPr>
                    <w:t>b</w:t>
                  </w:r>
                  <w:r>
                    <w:t xml:space="preserve">, and the volume of distribution in the </w:t>
                  </w:r>
                  <w:r>
                    <w:rPr>
                      <w:i/>
                      <w:iCs/>
                    </w:rPr>
                    <w:t>b</w:t>
                  </w:r>
                  <w:r>
                    <w:t xml:space="preserve"> phase, which reflects the data. A decrease in the (</w:t>
                  </w:r>
                  <w:r>
                    <w:rPr>
                      <w:i/>
                      <w:iCs/>
                    </w:rPr>
                    <w:t>V</w:t>
                  </w:r>
                  <w:r>
                    <w:t xml:space="preserve"> </w:t>
                  </w:r>
                  <w:r>
                    <w:rPr>
                      <w:vertAlign w:val="subscript"/>
                    </w:rPr>
                    <w:t>D</w:t>
                  </w:r>
                  <w:r>
                    <w:t>)</w:t>
                  </w:r>
                  <w:r>
                    <w:rPr>
                      <w:noProof/>
                      <w:vertAlign w:val="subscript"/>
                    </w:rPr>
                    <mc:AlternateContent>
                      <mc:Choice Requires="wps">
                        <w:drawing>
                          <wp:inline distT="0" distB="0" distL="0" distR="0" wp14:anchorId="3C7D361A" wp14:editId="16EA6327">
                            <wp:extent cx="304800" cy="304800"/>
                            <wp:effectExtent l="0" t="0" r="0" b="0"/>
                            <wp:docPr id="977357978"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78783" id="Rectangle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with </w:t>
                  </w:r>
                  <w:r>
                    <w:rPr>
                      <w:i/>
                      <w:iCs/>
                    </w:rPr>
                    <w:t>b</w:t>
                  </w:r>
                  <w:r>
                    <w:t xml:space="preserve"> unchanged is possible, although this is not the common case. When this happens, the terminal data (see ) concludes that the beta elimination half-life of patients 1 and 2 are the same due to a similar </w:t>
                  </w:r>
                  <w:r>
                    <w:rPr>
                      <w:i/>
                      <w:iCs/>
                    </w:rPr>
                    <w:t>b</w:t>
                  </w:r>
                  <w:r>
                    <w:t xml:space="preserve">. Actually, the real elimination half-life of the drug derived from </w:t>
                  </w:r>
                  <w:r>
                    <w:rPr>
                      <w:i/>
                      <w:iCs/>
                    </w:rPr>
                    <w:t>k</w:t>
                  </w:r>
                  <w:r>
                    <w:t xml:space="preserve"> is a much better parameter, since </w:t>
                  </w:r>
                  <w:r>
                    <w:rPr>
                      <w:i/>
                      <w:iCs/>
                    </w:rPr>
                    <w:t>k</w:t>
                  </w:r>
                  <w:r>
                    <w:t xml:space="preserve"> reflects the changes in renal function, but not </w:t>
                  </w:r>
                  <w:r>
                    <w:rPr>
                      <w:i/>
                      <w:iCs/>
                    </w:rPr>
                    <w:t>b</w:t>
                  </w:r>
                  <w:r>
                    <w:t>, which remains unchanged since it is masked by the changes in (</w:t>
                  </w:r>
                  <w:r>
                    <w:rPr>
                      <w:i/>
                      <w:iCs/>
                    </w:rPr>
                    <w:t>V</w:t>
                  </w:r>
                  <w:r>
                    <w:t xml:space="preserve"> </w:t>
                  </w:r>
                  <w:r>
                    <w:rPr>
                      <w:vertAlign w:val="subscript"/>
                    </w:rPr>
                    <w:t>D</w:t>
                  </w:r>
                  <w:r>
                    <w:t>)</w:t>
                  </w:r>
                  <w:r>
                    <w:rPr>
                      <w:noProof/>
                      <w:vertAlign w:val="subscript"/>
                    </w:rPr>
                    <mc:AlternateContent>
                      <mc:Choice Requires="wps">
                        <w:drawing>
                          <wp:inline distT="0" distB="0" distL="0" distR="0" wp14:anchorId="2A916142" wp14:editId="4AD9BB7E">
                            <wp:extent cx="304800" cy="304800"/>
                            <wp:effectExtent l="0" t="0" r="0" b="0"/>
                            <wp:docPr id="265870773"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AB8EB" id="Rectangle 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p>
                <w:p w14:paraId="15EE0244" w14:textId="77777777" w:rsidR="00556141" w:rsidRDefault="00556141">
                  <w:pPr>
                    <w:ind w:left="720"/>
                  </w:pPr>
                  <w:r>
                    <w:rPr>
                      <w:b/>
                      <w:bCs/>
                    </w:rPr>
                    <w:t>3.</w:t>
                  </w:r>
                  <w:r>
                    <w:t xml:space="preserve"> Both patients have the same </w:t>
                  </w:r>
                  <w:r>
                    <w:rPr>
                      <w:i/>
                      <w:iCs/>
                    </w:rPr>
                    <w:t>b</w:t>
                  </w:r>
                  <w:r>
                    <w:t xml:space="preserve"> value (</w:t>
                  </w:r>
                  <w:r>
                    <w:rPr>
                      <w:i/>
                      <w:iCs/>
                    </w:rPr>
                    <w:t>b</w:t>
                  </w:r>
                  <w:r>
                    <w:t xml:space="preserve"> = 0.011 hr</w:t>
                  </w:r>
                  <w:r>
                    <w:rPr>
                      <w:vertAlign w:val="superscript"/>
                    </w:rPr>
                    <w:t>–</w:t>
                  </w:r>
                  <w:r>
                    <w:t xml:space="preserve"> </w:t>
                  </w:r>
                  <w:r>
                    <w:rPr>
                      <w:vertAlign w:val="superscript"/>
                    </w:rPr>
                    <w:t>1</w:t>
                  </w:r>
                  <w:r>
                    <w:t xml:space="preserve">); the terminal slopes are identical. Ignoring early points by only taking terminal data would lead to an erroneous conclusion that the renal elimination process is unchanged, while the volume of distribution of the renally impaired patient is smaller. In this case, the renally impaired patient has a clearance of 1 L/hr compared with 3 L/hr for the normal subject, and yet the terminal slopes are the same. The rapid distribution of drug into the tissue in the normal subject causes a longer and steeper distribution phase. Later, redistribution of drug out of tissues masks the effect of rapid drug elimination through the kidney. In the renally impaired patient, distribution to tissue is reduced; as a result, little drug is redistributed out from the tissue in the </w:t>
                  </w:r>
                  <w:r>
                    <w:rPr>
                      <w:i/>
                      <w:iCs/>
                    </w:rPr>
                    <w:t>b</w:t>
                  </w:r>
                  <w:r>
                    <w:t xml:space="preserve"> phase. Hence, it appears that the beta phases are identical in the two patients.</w:t>
                  </w:r>
                </w:p>
                <w:p w14:paraId="66D9B2DB" w14:textId="77777777" w:rsidR="00556141" w:rsidRDefault="00556141">
                  <w:pPr>
                    <w:pStyle w:val="contenthead2"/>
                  </w:pPr>
                  <w:bookmarkStart w:id="150" w:name="2486155"/>
                  <w:bookmarkEnd w:id="150"/>
                  <w:r>
                    <w:t>Significance of the Volumes of Distribution</w:t>
                  </w:r>
                </w:p>
                <w:p w14:paraId="48AF78B0" w14:textId="5F1B9162" w:rsidR="00556141" w:rsidRDefault="00556141">
                  <w:pPr>
                    <w:pStyle w:val="contentbody"/>
                  </w:pPr>
                  <w:bookmarkStart w:id="151" w:name="2486156"/>
                  <w:bookmarkEnd w:id="151"/>
                  <w:r>
                    <w:t>From Equations 4.31 and 4.32 we can observe that (</w:t>
                  </w:r>
                  <w:r>
                    <w:rPr>
                      <w:i/>
                      <w:iCs/>
                    </w:rPr>
                    <w:t>V</w:t>
                  </w:r>
                  <w:r>
                    <w:t xml:space="preserve"> </w:t>
                  </w:r>
                  <w:r>
                    <w:rPr>
                      <w:vertAlign w:val="subscript"/>
                    </w:rPr>
                    <w:t>D</w:t>
                  </w:r>
                  <w:r>
                    <w:t>)</w:t>
                  </w:r>
                  <w:r>
                    <w:rPr>
                      <w:noProof/>
                      <w:vertAlign w:val="subscript"/>
                    </w:rPr>
                    <mc:AlternateContent>
                      <mc:Choice Requires="wps">
                        <w:drawing>
                          <wp:inline distT="0" distB="0" distL="0" distR="0" wp14:anchorId="264CE457" wp14:editId="0FD7A682">
                            <wp:extent cx="304800" cy="304800"/>
                            <wp:effectExtent l="0" t="0" r="0" b="0"/>
                            <wp:docPr id="1802125203"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25282" id="Rectangle 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affected by changes in the overall </w:t>
                  </w:r>
                  <w:r>
                    <w:lastRenderedPageBreak/>
                    <w:t xml:space="preserve">elimination rate (ie, change in </w:t>
                  </w:r>
                  <w:r>
                    <w:rPr>
                      <w:i/>
                      <w:iCs/>
                    </w:rPr>
                    <w:t>k</w:t>
                  </w:r>
                  <w:r>
                    <w:t xml:space="preserve">) and by change in total body clearance of the drug. After the drug is distributed, the total amount of drug in the body during the elimination of </w:t>
                  </w:r>
                  <w:r>
                    <w:rPr>
                      <w:i/>
                      <w:iCs/>
                    </w:rPr>
                    <w:t>b</w:t>
                  </w:r>
                  <w:r>
                    <w:t xml:space="preserve"> phase is calculated by using (</w:t>
                  </w:r>
                  <w:r>
                    <w:rPr>
                      <w:i/>
                      <w:iCs/>
                    </w:rPr>
                    <w:t>V</w:t>
                  </w:r>
                  <w:r>
                    <w:t xml:space="preserve"> </w:t>
                  </w:r>
                  <w:r>
                    <w:rPr>
                      <w:vertAlign w:val="subscript"/>
                    </w:rPr>
                    <w:t>D</w:t>
                  </w:r>
                  <w:r>
                    <w:t>)</w:t>
                  </w:r>
                  <w:r>
                    <w:rPr>
                      <w:noProof/>
                      <w:vertAlign w:val="subscript"/>
                    </w:rPr>
                    <mc:AlternateContent>
                      <mc:Choice Requires="wps">
                        <w:drawing>
                          <wp:inline distT="0" distB="0" distL="0" distR="0" wp14:anchorId="6EE09C65" wp14:editId="594BA9D0">
                            <wp:extent cx="304800" cy="304800"/>
                            <wp:effectExtent l="0" t="0" r="0" b="0"/>
                            <wp:docPr id="721810115"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53B3A" id="Rectangl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w:t>
                  </w:r>
                </w:p>
                <w:p w14:paraId="0EB5DED1" w14:textId="77777777" w:rsidR="00556141" w:rsidRDefault="00556141">
                  <w:pPr>
                    <w:pStyle w:val="contentbody"/>
                  </w:pPr>
                  <w:bookmarkStart w:id="152" w:name="2486157"/>
                  <w:bookmarkEnd w:id="152"/>
                  <w:r>
                    <w:rPr>
                      <w:i/>
                      <w:iCs/>
                    </w:rPr>
                    <w:t>V</w:t>
                  </w:r>
                  <w:r>
                    <w:t xml:space="preserve"> </w:t>
                  </w:r>
                  <w:r>
                    <w:rPr>
                      <w:vertAlign w:val="subscript"/>
                    </w:rPr>
                    <w:t>p</w:t>
                  </w:r>
                  <w:r>
                    <w:t xml:space="preserve"> is sometimes called the initial volume of distribution and is useful in the calculation of drug clearance. The magnitudes of the various apparent volumes of distribution have the following relationships to each other:</w:t>
                  </w:r>
                </w:p>
                <w:p w14:paraId="7231BA76" w14:textId="443FA9F3" w:rsidR="00556141" w:rsidRDefault="00556141">
                  <w:pPr>
                    <w:pStyle w:val="contentbody"/>
                  </w:pPr>
                  <w:bookmarkStart w:id="153" w:name="2486329"/>
                  <w:bookmarkStart w:id="154" w:name="2486158"/>
                  <w:bookmarkEnd w:id="153"/>
                  <w:bookmarkEnd w:id="154"/>
                  <w:r>
                    <w:rPr>
                      <w:noProof/>
                    </w:rPr>
                    <mc:AlternateContent>
                      <mc:Choice Requires="wps">
                        <w:drawing>
                          <wp:inline distT="0" distB="0" distL="0" distR="0" wp14:anchorId="39DCB0C6" wp14:editId="1C6AB21C">
                            <wp:extent cx="304800" cy="304800"/>
                            <wp:effectExtent l="0" t="0" r="0" b="0"/>
                            <wp:docPr id="1311209651"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53CC8" id="Rectangle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8CB2618" w14:textId="150467E8" w:rsidR="00556141" w:rsidRDefault="00556141">
                  <w:pPr>
                    <w:pStyle w:val="contentbody"/>
                  </w:pPr>
                  <w:bookmarkStart w:id="155" w:name="2486159"/>
                  <w:bookmarkEnd w:id="155"/>
                  <w:r>
                    <w:t xml:space="preserve">Calculation of another </w:t>
                  </w:r>
                  <w:r>
                    <w:rPr>
                      <w:i/>
                      <w:iCs/>
                    </w:rPr>
                    <w:t>V</w:t>
                  </w:r>
                  <w:r>
                    <w:t xml:space="preserve"> </w:t>
                  </w:r>
                  <w:r>
                    <w:rPr>
                      <w:vertAlign w:val="subscript"/>
                    </w:rPr>
                    <w:t>D</w:t>
                  </w:r>
                  <w:r>
                    <w:t>, (</w:t>
                  </w:r>
                  <w:r>
                    <w:rPr>
                      <w:i/>
                      <w:iCs/>
                    </w:rPr>
                    <w:t>V</w:t>
                  </w:r>
                  <w:r>
                    <w:t xml:space="preserve"> </w:t>
                  </w:r>
                  <w:r>
                    <w:rPr>
                      <w:vertAlign w:val="subscript"/>
                    </w:rPr>
                    <w:t>D</w:t>
                  </w:r>
                  <w:r>
                    <w:t>)</w:t>
                  </w:r>
                  <w:r>
                    <w:rPr>
                      <w:vertAlign w:val="subscript"/>
                    </w:rPr>
                    <w:t>ss</w:t>
                  </w:r>
                  <w:r>
                    <w:t>, is possible in multiple dosing or infusion (see and ). (</w:t>
                  </w:r>
                  <w:r>
                    <w:rPr>
                      <w:i/>
                      <w:iCs/>
                    </w:rPr>
                    <w:t>V</w:t>
                  </w:r>
                  <w:r>
                    <w:t xml:space="preserve"> </w:t>
                  </w:r>
                  <w:r>
                    <w:rPr>
                      <w:vertAlign w:val="subscript"/>
                    </w:rPr>
                    <w:t>D</w:t>
                  </w:r>
                  <w:r>
                    <w:t>)</w:t>
                  </w:r>
                  <w:r>
                    <w:rPr>
                      <w:vertAlign w:val="subscript"/>
                    </w:rPr>
                    <w:t>ss</w:t>
                  </w:r>
                  <w:r>
                    <w:t xml:space="preserve"> is much larger than </w:t>
                  </w:r>
                  <w:r>
                    <w:rPr>
                      <w:i/>
                      <w:iCs/>
                    </w:rPr>
                    <w:t>V</w:t>
                  </w:r>
                  <w:r>
                    <w:t xml:space="preserve"> </w:t>
                  </w:r>
                  <w:r>
                    <w:rPr>
                      <w:vertAlign w:val="subscript"/>
                    </w:rPr>
                    <w:t>p</w:t>
                  </w:r>
                  <w:r>
                    <w:t>; it approximates (</w:t>
                  </w:r>
                  <w:r>
                    <w:rPr>
                      <w:i/>
                      <w:iCs/>
                    </w:rPr>
                    <w:t>V</w:t>
                  </w:r>
                  <w:r>
                    <w:t xml:space="preserve"> </w:t>
                  </w:r>
                  <w:r>
                    <w:rPr>
                      <w:vertAlign w:val="subscript"/>
                    </w:rPr>
                    <w:t>D</w:t>
                  </w:r>
                  <w:r>
                    <w:t>)</w:t>
                  </w:r>
                  <w:r>
                    <w:rPr>
                      <w:noProof/>
                      <w:vertAlign w:val="subscript"/>
                    </w:rPr>
                    <mc:AlternateContent>
                      <mc:Choice Requires="wps">
                        <w:drawing>
                          <wp:inline distT="0" distB="0" distL="0" distR="0" wp14:anchorId="62766CED" wp14:editId="5C85D334">
                            <wp:extent cx="304800" cy="304800"/>
                            <wp:effectExtent l="0" t="0" r="0" b="0"/>
                            <wp:docPr id="771954324"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098B8" id="Rectangle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but differs somewhat in value, depending on the transfer constants.</w:t>
                  </w:r>
                </w:p>
                <w:p w14:paraId="24814FD8" w14:textId="04865028" w:rsidR="00556141" w:rsidRDefault="00556141">
                  <w:pPr>
                    <w:pStyle w:val="contentbody"/>
                  </w:pPr>
                  <w:bookmarkStart w:id="156" w:name="2486160"/>
                  <w:bookmarkEnd w:id="156"/>
                  <w:r>
                    <w:t xml:space="preserve">In a study involving a cardiotonic drug given intravenously to a group of normal and congestive heart failure (CHF) patients, the average AUC for CHF was 40% higher than in the normal subjects. The </w:t>
                  </w:r>
                  <w:r>
                    <w:rPr>
                      <w:i/>
                      <w:iCs/>
                    </w:rPr>
                    <w:t>b</w:t>
                  </w:r>
                  <w:r>
                    <w:t xml:space="preserve"> elimination constant was 40% less in CHF patients, whereas the average (</w:t>
                  </w:r>
                  <w:r>
                    <w:rPr>
                      <w:i/>
                      <w:iCs/>
                    </w:rPr>
                    <w:t>V</w:t>
                  </w:r>
                  <w:r>
                    <w:t xml:space="preserve"> </w:t>
                  </w:r>
                  <w:r>
                    <w:rPr>
                      <w:vertAlign w:val="subscript"/>
                    </w:rPr>
                    <w:t>D</w:t>
                  </w:r>
                  <w:r>
                    <w:t>)</w:t>
                  </w:r>
                  <w:r>
                    <w:rPr>
                      <w:noProof/>
                      <w:vertAlign w:val="subscript"/>
                    </w:rPr>
                    <mc:AlternateContent>
                      <mc:Choice Requires="wps">
                        <w:drawing>
                          <wp:inline distT="0" distB="0" distL="0" distR="0" wp14:anchorId="743DA77F" wp14:editId="0B95951E">
                            <wp:extent cx="304800" cy="304800"/>
                            <wp:effectExtent l="0" t="0" r="0" b="0"/>
                            <wp:docPr id="14905835"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D180B" id="Rectangle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remained essentially the same. In spite of the edematous conditions of these patients, the volume of distribution apparently remained constant. No change was found in the </w:t>
                  </w:r>
                  <w:r>
                    <w:rPr>
                      <w:i/>
                      <w:iCs/>
                    </w:rPr>
                    <w:t>V</w:t>
                  </w:r>
                  <w:r>
                    <w:t xml:space="preserve"> </w:t>
                  </w:r>
                  <w:r>
                    <w:rPr>
                      <w:vertAlign w:val="subscript"/>
                    </w:rPr>
                    <w:t>p</w:t>
                  </w:r>
                  <w:r>
                    <w:t xml:space="preserve"> or (</w:t>
                  </w:r>
                  <w:r>
                    <w:rPr>
                      <w:i/>
                      <w:iCs/>
                    </w:rPr>
                    <w:t>V</w:t>
                  </w:r>
                  <w:r>
                    <w:t xml:space="preserve"> </w:t>
                  </w:r>
                  <w:r>
                    <w:rPr>
                      <w:vertAlign w:val="subscript"/>
                    </w:rPr>
                    <w:t>D</w:t>
                  </w:r>
                  <w:r>
                    <w:t>)</w:t>
                  </w:r>
                  <w:r>
                    <w:rPr>
                      <w:noProof/>
                      <w:vertAlign w:val="subscript"/>
                    </w:rPr>
                    <mc:AlternateContent>
                      <mc:Choice Requires="wps">
                        <w:drawing>
                          <wp:inline distT="0" distB="0" distL="0" distR="0" wp14:anchorId="7C4FA673" wp14:editId="10E77A4F">
                            <wp:extent cx="304800" cy="304800"/>
                            <wp:effectExtent l="0" t="0" r="0" b="0"/>
                            <wp:docPr id="17738364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D22B3" id="Rectangle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In this study, a 40% increase in AUC in the CHF subjects was offset by a 40% smaller </w:t>
                  </w:r>
                  <w:r>
                    <w:rPr>
                      <w:i/>
                      <w:iCs/>
                    </w:rPr>
                    <w:t>b</w:t>
                  </w:r>
                  <w:r>
                    <w:t xml:space="preserve"> elimination constant estimated by using computer methods. Because the dose was the same, the (</w:t>
                  </w:r>
                  <w:r>
                    <w:rPr>
                      <w:i/>
                      <w:iCs/>
                    </w:rPr>
                    <w:t>V</w:t>
                  </w:r>
                  <w:r>
                    <w:t xml:space="preserve"> </w:t>
                  </w:r>
                  <w:r>
                    <w:rPr>
                      <w:vertAlign w:val="subscript"/>
                    </w:rPr>
                    <w:t>D</w:t>
                  </w:r>
                  <w:r>
                    <w:t>)</w:t>
                  </w:r>
                  <w:r>
                    <w:rPr>
                      <w:noProof/>
                      <w:vertAlign w:val="subscript"/>
                    </w:rPr>
                    <mc:AlternateContent>
                      <mc:Choice Requires="wps">
                        <w:drawing>
                          <wp:inline distT="0" distB="0" distL="0" distR="0" wp14:anchorId="16B17899" wp14:editId="33B9DCBF">
                            <wp:extent cx="304800" cy="304800"/>
                            <wp:effectExtent l="0" t="0" r="0" b="0"/>
                            <wp:docPr id="176368520"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D0E28" id="Rectangle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would not change unless the increase in AUC is not accompanied by a change in </w:t>
                  </w:r>
                  <w:r>
                    <w:rPr>
                      <w:i/>
                      <w:iCs/>
                    </w:rPr>
                    <w:t>b</w:t>
                  </w:r>
                  <w:r>
                    <w:t xml:space="preserve"> elimination constant.</w:t>
                  </w:r>
                </w:p>
                <w:p w14:paraId="0FE0E551" w14:textId="77777777" w:rsidR="00556141" w:rsidRDefault="00556141">
                  <w:pPr>
                    <w:pStyle w:val="contentbody"/>
                  </w:pPr>
                  <w:bookmarkStart w:id="157" w:name="2486161"/>
                  <w:bookmarkEnd w:id="157"/>
                  <w:r>
                    <w:t xml:space="preserve">From Equation 4.31, the clearance of the drug in CHF patients was reduced by 40% and accompanied by a corresponding decrease in the </w:t>
                  </w:r>
                  <w:r>
                    <w:rPr>
                      <w:i/>
                      <w:iCs/>
                    </w:rPr>
                    <w:t>b</w:t>
                  </w:r>
                  <w:r>
                    <w:t xml:space="preserve"> elimination constant, possibly due to a reduction in renal blood flow as a result of reduced cardiac output in CHF patients. In physiologic pharmacokinetics, clearance (</w:t>
                  </w:r>
                  <w:r>
                    <w:rPr>
                      <w:i/>
                      <w:iCs/>
                    </w:rPr>
                    <w:t>Cl</w:t>
                  </w:r>
                  <w:r>
                    <w:t>) and volume of distribution (</w:t>
                  </w:r>
                  <w:r>
                    <w:rPr>
                      <w:i/>
                      <w:iCs/>
                    </w:rPr>
                    <w:t>V</w:t>
                  </w:r>
                  <w:r>
                    <w:t xml:space="preserve"> </w:t>
                  </w:r>
                  <w:r>
                    <w:rPr>
                      <w:vertAlign w:val="subscript"/>
                    </w:rPr>
                    <w:t>D</w:t>
                  </w:r>
                  <w:r>
                    <w:t>) are assumed to be independent parameters that explain the impact of disease factors on drug disposition. Thus, an increase in AUC of a cardiotonic in a CHF patient was assumed to be due to a reduction in drug clearance, since the volume of distribution was unchanged. The elimination half-life was reduced due to reduction in drug clearance. In reality, pharmacokinetic changes in a complex system are dependent on many factors that interact within the system. Clearance is affected by drug uptake, metabolism, binding, and more; all of these factors can also influence the drug distribution volume. Many parameters are assumed to be constant and independent for simplification of the model. Blood flow is an independent parameter that will affect both clearance and distribution. However, blood flow is, in turn, affected and regulated by many physiologic compensatory factors.</w:t>
                  </w:r>
                </w:p>
                <w:p w14:paraId="41CA11B8" w14:textId="5064B273" w:rsidR="00556141" w:rsidRDefault="00556141">
                  <w:pPr>
                    <w:pStyle w:val="contentbody"/>
                  </w:pPr>
                  <w:bookmarkStart w:id="158" w:name="2486162"/>
                  <w:bookmarkEnd w:id="158"/>
                  <w:r>
                    <w:t>For drugs that follow two-compartment model kinetics, changes in disease states may not result in different pharmacokinetic parameters. Conversely, changes in pharmacokinetic parameters should not be attributed to physiologic changes without careful consideration of method of curve fitting and intersubject differences. Equation 4.38 shows that, unlike a simple one-compartment open model, (</w:t>
                  </w:r>
                  <w:r>
                    <w:rPr>
                      <w:i/>
                      <w:iCs/>
                    </w:rPr>
                    <w:t>V</w:t>
                  </w:r>
                  <w:r>
                    <w:t xml:space="preserve"> </w:t>
                  </w:r>
                  <w:r>
                    <w:rPr>
                      <w:vertAlign w:val="subscript"/>
                    </w:rPr>
                    <w:t>D</w:t>
                  </w:r>
                  <w:r>
                    <w:t>)</w:t>
                  </w:r>
                  <w:r>
                    <w:rPr>
                      <w:noProof/>
                      <w:vertAlign w:val="subscript"/>
                    </w:rPr>
                    <mc:AlternateContent>
                      <mc:Choice Requires="wps">
                        <w:drawing>
                          <wp:inline distT="0" distB="0" distL="0" distR="0" wp14:anchorId="316C51EF" wp14:editId="3A6F06CD">
                            <wp:extent cx="304800" cy="304800"/>
                            <wp:effectExtent l="0" t="0" r="0" b="0"/>
                            <wp:docPr id="1403708244"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BE4B1" id="Rectangle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may be estimated from </w:t>
                  </w:r>
                  <w:r>
                    <w:rPr>
                      <w:i/>
                      <w:iCs/>
                    </w:rPr>
                    <w:t>k</w:t>
                  </w:r>
                  <w:r>
                    <w:t xml:space="preserve">, </w:t>
                  </w:r>
                  <w:r>
                    <w:rPr>
                      <w:i/>
                      <w:iCs/>
                    </w:rPr>
                    <w:t>b</w:t>
                  </w:r>
                  <w:r>
                    <w:t xml:space="preserve">, and </w:t>
                  </w:r>
                  <w:r>
                    <w:rPr>
                      <w:i/>
                      <w:iCs/>
                    </w:rPr>
                    <w:t>V</w:t>
                  </w:r>
                  <w:r>
                    <w:t xml:space="preserve"> </w:t>
                  </w:r>
                  <w:r>
                    <w:rPr>
                      <w:vertAlign w:val="subscript"/>
                    </w:rPr>
                    <w:t>p</w:t>
                  </w:r>
                  <w:r>
                    <w:t xml:space="preserve">. Errors in fitting are easily carried over to the other parameter estimates even if the calculations are performed by computer. The terms </w:t>
                  </w:r>
                  <w:r>
                    <w:rPr>
                      <w:i/>
                      <w:iCs/>
                    </w:rPr>
                    <w:t>k</w:t>
                  </w:r>
                  <w:r>
                    <w:t xml:space="preserve"> </w:t>
                  </w:r>
                  <w:r>
                    <w:rPr>
                      <w:vertAlign w:val="subscript"/>
                    </w:rPr>
                    <w:t>12</w:t>
                  </w:r>
                  <w:r>
                    <w:t xml:space="preserve"> and </w:t>
                  </w:r>
                  <w:r>
                    <w:rPr>
                      <w:i/>
                      <w:iCs/>
                    </w:rPr>
                    <w:t>k</w:t>
                  </w:r>
                  <w:r>
                    <w:t xml:space="preserve"> </w:t>
                  </w:r>
                  <w:r>
                    <w:rPr>
                      <w:vertAlign w:val="subscript"/>
                    </w:rPr>
                    <w:t>21</w:t>
                  </w:r>
                  <w:r>
                    <w:t xml:space="preserve"> often fluctuate due to minor fitting and experimental difference and may affect calculation of other parameters.</w:t>
                  </w:r>
                </w:p>
                <w:p w14:paraId="001689A7" w14:textId="77777777" w:rsidR="00556141" w:rsidRDefault="00556141">
                  <w:pPr>
                    <w:pStyle w:val="contenthead2"/>
                  </w:pPr>
                  <w:bookmarkStart w:id="159" w:name="2486163"/>
                  <w:bookmarkEnd w:id="159"/>
                  <w:r>
                    <w:t>Drug in the Tissue Compartment</w:t>
                  </w:r>
                </w:p>
                <w:p w14:paraId="7BAB7BEB" w14:textId="77777777" w:rsidR="00556141" w:rsidRDefault="00556141">
                  <w:pPr>
                    <w:pStyle w:val="contentbody"/>
                  </w:pPr>
                  <w:bookmarkStart w:id="160" w:name="2486164"/>
                  <w:bookmarkEnd w:id="160"/>
                  <w:r>
                    <w:t>The apparent volume of the tissue compartment (</w:t>
                  </w:r>
                  <w:r>
                    <w:rPr>
                      <w:i/>
                      <w:iCs/>
                    </w:rPr>
                    <w:t>V</w:t>
                  </w:r>
                  <w:r>
                    <w:t xml:space="preserve"> </w:t>
                  </w:r>
                  <w:r>
                    <w:rPr>
                      <w:vertAlign w:val="subscript"/>
                    </w:rPr>
                    <w:t>t</w:t>
                  </w:r>
                  <w:r>
                    <w:t xml:space="preserve">) is a conceptual volume only and does not represent true anatomic volumes. The </w:t>
                  </w:r>
                  <w:r>
                    <w:rPr>
                      <w:i/>
                      <w:iCs/>
                    </w:rPr>
                    <w:t>V</w:t>
                  </w:r>
                  <w:r>
                    <w:t xml:space="preserve"> </w:t>
                  </w:r>
                  <w:r>
                    <w:rPr>
                      <w:vertAlign w:val="subscript"/>
                    </w:rPr>
                    <w:t>t</w:t>
                  </w:r>
                  <w:r>
                    <w:t xml:space="preserve"> may be calculated from knowledge of the transfer rate constants and </w:t>
                  </w:r>
                  <w:r>
                    <w:rPr>
                      <w:i/>
                      <w:iCs/>
                    </w:rPr>
                    <w:t>V</w:t>
                  </w:r>
                  <w:r>
                    <w:t xml:space="preserve"> </w:t>
                  </w:r>
                  <w:r>
                    <w:rPr>
                      <w:vertAlign w:val="subscript"/>
                    </w:rPr>
                    <w:t>p</w:t>
                  </w:r>
                  <w:r>
                    <w:t>:</w:t>
                  </w:r>
                </w:p>
                <w:p w14:paraId="7CBDE5AC" w14:textId="35AB76FA" w:rsidR="00556141" w:rsidRDefault="00556141">
                  <w:pPr>
                    <w:pStyle w:val="contentbody"/>
                  </w:pPr>
                  <w:bookmarkStart w:id="161" w:name="2486330"/>
                  <w:bookmarkStart w:id="162" w:name="2486165"/>
                  <w:bookmarkEnd w:id="161"/>
                  <w:bookmarkEnd w:id="162"/>
                  <w:r>
                    <w:rPr>
                      <w:noProof/>
                    </w:rPr>
                    <w:lastRenderedPageBreak/>
                    <mc:AlternateContent>
                      <mc:Choice Requires="wps">
                        <w:drawing>
                          <wp:inline distT="0" distB="0" distL="0" distR="0" wp14:anchorId="23901B30" wp14:editId="5C36997F">
                            <wp:extent cx="304800" cy="304800"/>
                            <wp:effectExtent l="0" t="0" r="0" b="0"/>
                            <wp:docPr id="75153153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5B8A1" id="Rectangle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20F657" w14:textId="77777777" w:rsidR="00556141" w:rsidRDefault="00556141">
                  <w:pPr>
                    <w:pStyle w:val="contentbody"/>
                  </w:pPr>
                  <w:bookmarkStart w:id="163" w:name="2486166"/>
                  <w:bookmarkEnd w:id="163"/>
                  <w:r>
                    <w:t xml:space="preserve">The calculation of the amount of drug in the tissue compartment does not entail the use of </w:t>
                  </w:r>
                  <w:r>
                    <w:rPr>
                      <w:i/>
                      <w:iCs/>
                    </w:rPr>
                    <w:t>V</w:t>
                  </w:r>
                  <w:r>
                    <w:t xml:space="preserve"> </w:t>
                  </w:r>
                  <w:r>
                    <w:rPr>
                      <w:vertAlign w:val="subscript"/>
                    </w:rPr>
                    <w:t>t</w:t>
                  </w:r>
                  <w:r>
                    <w:t xml:space="preserve">. Calculation of the amount of drug in the tissue compartment provides an estimate for drug accumulation in the tissues of the body. This information is vital in estimating chronic toxicity and relating the duration of pharmacologic activity to dose. Tissue compartment drug concentration is an average estimate of the tissue pool and does not mean that all tissues have this concentration. The drug concentration in a tissue biopsy will provide an estimate for drug in that tissue sample. Due to differences in blood flow and drug partitioning into the tissue, and heterogenicity, even a biopsy from the same tissue may have different drug concentrations. Together with </w:t>
                  </w:r>
                  <w:r>
                    <w:rPr>
                      <w:i/>
                      <w:iCs/>
                    </w:rPr>
                    <w:t>V</w:t>
                  </w:r>
                  <w:r>
                    <w:t xml:space="preserve"> </w:t>
                  </w:r>
                  <w:r>
                    <w:rPr>
                      <w:vertAlign w:val="subscript"/>
                    </w:rPr>
                    <w:t>p</w:t>
                  </w:r>
                  <w:r>
                    <w:t xml:space="preserve"> and </w:t>
                  </w:r>
                  <w:r>
                    <w:rPr>
                      <w:i/>
                      <w:iCs/>
                    </w:rPr>
                    <w:t>C</w:t>
                  </w:r>
                  <w:r>
                    <w:t xml:space="preserve"> </w:t>
                  </w:r>
                  <w:r>
                    <w:rPr>
                      <w:vertAlign w:val="subscript"/>
                    </w:rPr>
                    <w:t>p</w:t>
                  </w:r>
                  <w:r>
                    <w:t xml:space="preserve">, which calculate the amount of drug in the plasma, the compartment model provides mass balance information. Moreover, the pharmacodynamic activity may correlate better with the tissue drug concentration–time curve. To calculate the amount of drug in the tissue compartment </w:t>
                  </w:r>
                  <w:r>
                    <w:rPr>
                      <w:i/>
                      <w:iCs/>
                    </w:rPr>
                    <w:t>D</w:t>
                  </w:r>
                  <w:r>
                    <w:t xml:space="preserve"> </w:t>
                  </w:r>
                  <w:r>
                    <w:rPr>
                      <w:vertAlign w:val="subscript"/>
                    </w:rPr>
                    <w:t>t</w:t>
                  </w:r>
                  <w:r>
                    <w:rPr>
                      <w:i/>
                      <w:iCs/>
                    </w:rPr>
                    <w:t xml:space="preserve">, </w:t>
                  </w:r>
                  <w:r>
                    <w:t>the following expression is used:</w:t>
                  </w:r>
                </w:p>
                <w:p w14:paraId="37972F03" w14:textId="253C8FE2" w:rsidR="00556141" w:rsidRDefault="00556141">
                  <w:pPr>
                    <w:pStyle w:val="contentbody"/>
                  </w:pPr>
                  <w:bookmarkStart w:id="164" w:name="2486331"/>
                  <w:bookmarkStart w:id="165" w:name="2486167"/>
                  <w:bookmarkEnd w:id="164"/>
                  <w:bookmarkEnd w:id="165"/>
                  <w:r>
                    <w:rPr>
                      <w:noProof/>
                    </w:rPr>
                    <mc:AlternateContent>
                      <mc:Choice Requires="wps">
                        <w:drawing>
                          <wp:inline distT="0" distB="0" distL="0" distR="0" wp14:anchorId="6A6FC059" wp14:editId="6CAF898B">
                            <wp:extent cx="304800" cy="304800"/>
                            <wp:effectExtent l="0" t="0" r="0" b="0"/>
                            <wp:docPr id="376550693"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0D586" id="Rectangle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F363E7" w14:textId="77777777" w:rsidR="00556141" w:rsidRDefault="00556141">
                  <w:pPr>
                    <w:pStyle w:val="contenthead2"/>
                  </w:pPr>
                  <w:bookmarkStart w:id="166" w:name="2486168"/>
                  <w:bookmarkEnd w:id="166"/>
                  <w:r>
                    <w:t>Practical Focus</w:t>
                  </w:r>
                </w:p>
                <w:p w14:paraId="3D4C5847" w14:textId="77777777" w:rsidR="00556141" w:rsidRDefault="00556141">
                  <w:pPr>
                    <w:pStyle w:val="contentbody"/>
                  </w:pPr>
                  <w:bookmarkStart w:id="167" w:name="2486169"/>
                  <w:bookmarkEnd w:id="167"/>
                  <w:r>
                    <w:t>The therapeutic plasma concentration of digoxin is between 1 and 2 ng/mL; because digoxin has a long elimination half-life, digoxin takes a long time to reach a stable, constant (steady-state) level in the body. A loading dose is usually given with the initiation of digoxin therapy. Consider the implications of the loading dose of 1 mg suggested for a 70-kg subject. The clinical source cited an apparent volume of distribution of 7.3 L/kg for digoxin in determining the loading dose of digoxin. Use the pharmacokinetic parameters for digoxin in .</w:t>
                  </w:r>
                </w:p>
                <w:p w14:paraId="34E380F2" w14:textId="77777777" w:rsidR="00556141" w:rsidRDefault="00556141">
                  <w:pPr>
                    <w:pStyle w:val="contentbody"/>
                  </w:pPr>
                  <w:bookmarkStart w:id="168" w:name="2486170"/>
                  <w:bookmarkEnd w:id="168"/>
                  <w:r>
                    <w:rPr>
                      <w:b/>
                      <w:bCs/>
                    </w:rPr>
                    <w:t>Solution</w:t>
                  </w:r>
                  <w:r>
                    <w:t xml:space="preserve"> </w:t>
                  </w:r>
                </w:p>
                <w:p w14:paraId="16D6A5FF" w14:textId="67BB4618" w:rsidR="00556141" w:rsidRDefault="00556141">
                  <w:pPr>
                    <w:pStyle w:val="contentbody"/>
                  </w:pPr>
                  <w:bookmarkStart w:id="169" w:name="2486171"/>
                  <w:bookmarkEnd w:id="169"/>
                  <w:r>
                    <w:t>The loading dose was calculated by considering the body as a one-compartment during steady state, at which time the drug well penetrates the tissue compartment. The volume of distribution (</w:t>
                  </w:r>
                  <w:r>
                    <w:rPr>
                      <w:i/>
                      <w:iCs/>
                    </w:rPr>
                    <w:t>V</w:t>
                  </w:r>
                  <w:r>
                    <w:t xml:space="preserve"> </w:t>
                  </w:r>
                  <w:r>
                    <w:rPr>
                      <w:vertAlign w:val="subscript"/>
                    </w:rPr>
                    <w:t>D</w:t>
                  </w:r>
                  <w:r>
                    <w:t>)</w:t>
                  </w:r>
                  <w:r>
                    <w:rPr>
                      <w:noProof/>
                      <w:vertAlign w:val="subscript"/>
                    </w:rPr>
                    <mc:AlternateContent>
                      <mc:Choice Requires="wps">
                        <w:drawing>
                          <wp:inline distT="0" distB="0" distL="0" distR="0" wp14:anchorId="5C331436" wp14:editId="527B8572">
                            <wp:extent cx="304800" cy="304800"/>
                            <wp:effectExtent l="0" t="0" r="0" b="0"/>
                            <wp:docPr id="434415561"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CD100" id="Rectangle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of digoxin is much larger than </w:t>
                  </w:r>
                  <w:r>
                    <w:rPr>
                      <w:i/>
                      <w:iCs/>
                    </w:rPr>
                    <w:t>V</w:t>
                  </w:r>
                  <w:r>
                    <w:t xml:space="preserve"> </w:t>
                  </w:r>
                  <w:r>
                    <w:rPr>
                      <w:vertAlign w:val="subscript"/>
                    </w:rPr>
                    <w:t>p</w:t>
                  </w:r>
                  <w:r>
                    <w:t>, or the volume of the plasma compartment.</w:t>
                  </w:r>
                </w:p>
                <w:p w14:paraId="43AAF88F" w14:textId="77777777" w:rsidR="00556141" w:rsidRDefault="00556141">
                  <w:pPr>
                    <w:pStyle w:val="contentbody"/>
                  </w:pPr>
                  <w:bookmarkStart w:id="170" w:name="2486172"/>
                  <w:bookmarkEnd w:id="170"/>
                  <w:r>
                    <w:t>Using Equation (4.38),</w:t>
                  </w:r>
                </w:p>
                <w:p w14:paraId="110E6663" w14:textId="2C4F02D7" w:rsidR="00556141" w:rsidRDefault="00556141">
                  <w:pPr>
                    <w:pStyle w:val="contentbody"/>
                  </w:pPr>
                  <w:bookmarkStart w:id="171" w:name="2486332"/>
                  <w:bookmarkStart w:id="172" w:name="2486173"/>
                  <w:bookmarkEnd w:id="171"/>
                  <w:bookmarkEnd w:id="172"/>
                  <w:r>
                    <w:rPr>
                      <w:noProof/>
                    </w:rPr>
                    <mc:AlternateContent>
                      <mc:Choice Requires="wps">
                        <w:drawing>
                          <wp:inline distT="0" distB="0" distL="0" distR="0" wp14:anchorId="2E9B3B74" wp14:editId="5EF65CB2">
                            <wp:extent cx="304800" cy="304800"/>
                            <wp:effectExtent l="0" t="0" r="0" b="0"/>
                            <wp:docPr id="78327866"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4BC1F" id="Rectangl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7A8EAC" w14:textId="77777777" w:rsidR="00556141" w:rsidRDefault="00556141">
                  <w:pPr>
                    <w:pStyle w:val="contentbody"/>
                  </w:pPr>
                  <w:bookmarkStart w:id="173" w:name="2486176"/>
                  <w:bookmarkEnd w:id="173"/>
                  <w:r>
                    <w:t>The loading dose is generally divided into two or three doses or is administered as 50% in the first dose and the remaining drug given in two divided doses 6–8 hours apart to minimize potential side effects from overdigitization. If the entire loading dose were administered intravenously, the plasma level would be about 4–5 ng/mL after 1 hour, while the level would drop to about 1.5 ng/mL at about 4 hours. The exact level after a given IV dose may be calculated using Equation 4.6 at any time desired. The pharmacokinetic parameters for digoxin are available in .</w:t>
                  </w:r>
                </w:p>
                <w:p w14:paraId="28C04ADB" w14:textId="77777777" w:rsidR="00556141" w:rsidRDefault="00556141">
                  <w:pPr>
                    <w:pStyle w:val="contenthead2"/>
                  </w:pPr>
                  <w:bookmarkStart w:id="174" w:name="2486177"/>
                  <w:bookmarkEnd w:id="174"/>
                  <w:r>
                    <w:t>Drug Clearance</w:t>
                  </w:r>
                </w:p>
                <w:p w14:paraId="74047C76" w14:textId="77777777" w:rsidR="00556141" w:rsidRDefault="00556141">
                  <w:pPr>
                    <w:pStyle w:val="contentbody"/>
                  </w:pPr>
                  <w:bookmarkStart w:id="175" w:name="2486178"/>
                  <w:bookmarkEnd w:id="175"/>
                  <w:r>
                    <w:t xml:space="preserve">The definition of clearance of a drug that follows a two-compartment model is similar to that of the one-compartment model. </w:t>
                  </w:r>
                  <w:r>
                    <w:rPr>
                      <w:i/>
                      <w:iCs/>
                    </w:rPr>
                    <w:t>Clearance</w:t>
                  </w:r>
                  <w:r>
                    <w:t xml:space="preserve"> is the volume of plasma that is cleared of drug per unit time. Clearance may be calculated without consideration of the compartment model. Thus, clearance may be viewed as a physiologic concept for drug removal, even though the development of clearance is rooted in classical pharmacokinetics.</w:t>
                  </w:r>
                </w:p>
                <w:p w14:paraId="6B27B0F4" w14:textId="77777777" w:rsidR="00556141" w:rsidRDefault="00556141">
                  <w:pPr>
                    <w:pStyle w:val="contentbody"/>
                  </w:pPr>
                  <w:bookmarkStart w:id="176" w:name="2486179"/>
                  <w:bookmarkEnd w:id="176"/>
                  <w:r>
                    <w:t xml:space="preserve">Clearance is often calculated by a noncompartmental approach, as in Equation 4.35, in which the bolus IV </w:t>
                  </w:r>
                  <w:r>
                    <w:lastRenderedPageBreak/>
                    <w:t>dose is divided by the area under the plasma–time concentration curve from zero to infinity, [AUC]</w:t>
                  </w:r>
                  <w:r>
                    <w:rPr>
                      <w:vertAlign w:val="superscript"/>
                    </w:rPr>
                    <w:t>∞</w:t>
                  </w:r>
                  <w:r>
                    <w:t xml:space="preserve"> </w:t>
                  </w:r>
                  <w:r>
                    <w:rPr>
                      <w:vertAlign w:val="subscript"/>
                    </w:rPr>
                    <w:t>0</w:t>
                  </w:r>
                  <w:r>
                    <w:t>. In evaluating the [AUC]</w:t>
                  </w:r>
                  <w:r>
                    <w:rPr>
                      <w:vertAlign w:val="superscript"/>
                    </w:rPr>
                    <w:t>∞</w:t>
                  </w:r>
                  <w:r>
                    <w:t xml:space="preserve"> </w:t>
                  </w:r>
                  <w:r>
                    <w:rPr>
                      <w:vertAlign w:val="subscript"/>
                    </w:rPr>
                    <w:t>0</w:t>
                  </w:r>
                  <w:r>
                    <w:t>, early time points must be collected frequently to observe the rapid decline in drug concentrations (distribution phase) for drugs with multicompartment pharmacokinetics. In the calculation of clearance using the noncompartmental approach, underestimating the area can inflate the calculated value of clearance.</w:t>
                  </w:r>
                </w:p>
                <w:p w14:paraId="6CBC64AB" w14:textId="3ABB7937" w:rsidR="00556141" w:rsidRDefault="00556141">
                  <w:pPr>
                    <w:pStyle w:val="contentbody"/>
                  </w:pPr>
                  <w:bookmarkStart w:id="177" w:name="2486335"/>
                  <w:bookmarkStart w:id="178" w:name="2486180"/>
                  <w:bookmarkEnd w:id="177"/>
                  <w:bookmarkEnd w:id="178"/>
                  <w:r>
                    <w:rPr>
                      <w:noProof/>
                    </w:rPr>
                    <mc:AlternateContent>
                      <mc:Choice Requires="wps">
                        <w:drawing>
                          <wp:inline distT="0" distB="0" distL="0" distR="0" wp14:anchorId="144490D5" wp14:editId="70A6669D">
                            <wp:extent cx="304800" cy="304800"/>
                            <wp:effectExtent l="0" t="0" r="0" b="0"/>
                            <wp:docPr id="1399695532"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57227" id="Rectangl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6EE0D8" w14:textId="7531C6CF" w:rsidR="00556141" w:rsidRDefault="00556141">
                  <w:pPr>
                    <w:pStyle w:val="contentbody"/>
                  </w:pPr>
                  <w:bookmarkStart w:id="179" w:name="2486181"/>
                  <w:bookmarkEnd w:id="179"/>
                  <w:r>
                    <w:t xml:space="preserve">Equation 4.41 may be rearranged to Equation 4.42 to show that </w:t>
                  </w:r>
                  <w:r>
                    <w:rPr>
                      <w:i/>
                      <w:iCs/>
                    </w:rPr>
                    <w:t>Cl</w:t>
                  </w:r>
                  <w:r>
                    <w:t xml:space="preserve"> in the two-compartment model is the product of (</w:t>
                  </w:r>
                  <w:r>
                    <w:rPr>
                      <w:i/>
                      <w:iCs/>
                    </w:rPr>
                    <w:t>V</w:t>
                  </w:r>
                  <w:r>
                    <w:t xml:space="preserve"> </w:t>
                  </w:r>
                  <w:r>
                    <w:rPr>
                      <w:vertAlign w:val="subscript"/>
                    </w:rPr>
                    <w:t>D</w:t>
                  </w:r>
                  <w:r>
                    <w:t>)</w:t>
                  </w:r>
                  <w:r>
                    <w:rPr>
                      <w:noProof/>
                      <w:vertAlign w:val="subscript"/>
                    </w:rPr>
                    <mc:AlternateContent>
                      <mc:Choice Requires="wps">
                        <w:drawing>
                          <wp:inline distT="0" distB="0" distL="0" distR="0" wp14:anchorId="2574FDFE" wp14:editId="1F2BFA65">
                            <wp:extent cx="304800" cy="304800"/>
                            <wp:effectExtent l="0" t="0" r="0" b="0"/>
                            <wp:docPr id="1324236280"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499BD" id="Rectangle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and </w:t>
                  </w:r>
                  <w:r>
                    <w:rPr>
                      <w:i/>
                      <w:iCs/>
                    </w:rPr>
                    <w:t>b</w:t>
                  </w:r>
                  <w:r>
                    <w:t>.</w:t>
                  </w:r>
                </w:p>
                <w:p w14:paraId="42B48786" w14:textId="7ADAB712" w:rsidR="00556141" w:rsidRDefault="00556141">
                  <w:pPr>
                    <w:pStyle w:val="contentbody"/>
                  </w:pPr>
                  <w:bookmarkStart w:id="180" w:name="2486336"/>
                  <w:bookmarkStart w:id="181" w:name="2486182"/>
                  <w:bookmarkEnd w:id="180"/>
                  <w:bookmarkEnd w:id="181"/>
                  <w:r>
                    <w:rPr>
                      <w:noProof/>
                    </w:rPr>
                    <mc:AlternateContent>
                      <mc:Choice Requires="wps">
                        <w:drawing>
                          <wp:inline distT="0" distB="0" distL="0" distR="0" wp14:anchorId="1440BF1C" wp14:editId="16F61D9C">
                            <wp:extent cx="304800" cy="304800"/>
                            <wp:effectExtent l="0" t="0" r="0" b="0"/>
                            <wp:docPr id="634650197"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7E8FF" id="Rectangle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BFFD58" w14:textId="77777777" w:rsidR="00556141" w:rsidRDefault="00556141">
                  <w:pPr>
                    <w:pStyle w:val="contentbody"/>
                  </w:pPr>
                  <w:bookmarkStart w:id="182" w:name="2486183"/>
                  <w:bookmarkEnd w:id="182"/>
                  <w:r>
                    <w:t xml:space="preserve">If both parameters are known, then calculation of clearance is simple and more accurate than using the trapezoidal rule to obtain area. Clearance calculations that use the two-compartment model are viewed as model dependent because more assumptions are required, and such calculations cannot be regarded as noncompartmental. However, the assumptions provide additional information and, in some sense, specifically describe the drug concentration–time profile as biphasic. </w:t>
                  </w:r>
                </w:p>
                <w:p w14:paraId="3A66CE65" w14:textId="77777777" w:rsidR="00556141" w:rsidRDefault="00556141">
                  <w:pPr>
                    <w:pStyle w:val="contentbody"/>
                  </w:pPr>
                  <w:bookmarkStart w:id="183" w:name="2486184"/>
                  <w:bookmarkEnd w:id="183"/>
                  <w:r>
                    <w:t>Clearance is a term that is useful in calculating average drug concentrations. With many drugs, a biphasic profile suggests a rapid tissue distribution phase followed by a slower elimination phase. Multicompartment pharmacokinetics is an important consideration in understanding drug permeation and toxicity. For example, the plasma–time profiles of aminoglycosides, such as gentamicin, are more useful in explaining toxicity than average plasma or drug concentration taken at peak or trough time.</w:t>
                  </w:r>
                </w:p>
                <w:p w14:paraId="1508BFBA" w14:textId="77777777" w:rsidR="00556141" w:rsidRDefault="00556141">
                  <w:pPr>
                    <w:pStyle w:val="contenthead2"/>
                  </w:pPr>
                  <w:bookmarkStart w:id="184" w:name="2486185"/>
                  <w:bookmarkEnd w:id="184"/>
                  <w:r>
                    <w:t>Elimination Rate Constant</w:t>
                  </w:r>
                </w:p>
                <w:p w14:paraId="0BAFFD8B" w14:textId="4AB4F31C" w:rsidR="00556141" w:rsidRDefault="00556141">
                  <w:pPr>
                    <w:pStyle w:val="contentbody"/>
                  </w:pPr>
                  <w:bookmarkStart w:id="185" w:name="2486186"/>
                  <w:bookmarkEnd w:id="185"/>
                  <w:r>
                    <w:t xml:space="preserve">In the two-compartment model (IV administration), the elimination rate constant, </w:t>
                  </w:r>
                  <w:r>
                    <w:rPr>
                      <w:i/>
                      <w:iCs/>
                    </w:rPr>
                    <w:t>k</w:t>
                  </w:r>
                  <w:r>
                    <w:t xml:space="preserve">, represents the elimination of drug from the central compartment, whereas </w:t>
                  </w:r>
                  <w:r>
                    <w:rPr>
                      <w:i/>
                      <w:iCs/>
                    </w:rPr>
                    <w:t>b</w:t>
                  </w:r>
                  <w:r>
                    <w:t xml:space="preserve"> represents drug elimination during the beta or elimination phase, when distribution is mostly complete. Because of redistribution of drug out of the tissue compartment, the plasma–drug level curve declines more slowly in the </w:t>
                  </w:r>
                  <w:r>
                    <w:rPr>
                      <w:i/>
                      <w:iCs/>
                    </w:rPr>
                    <w:t>b</w:t>
                  </w:r>
                  <w:r>
                    <w:t xml:space="preserve"> phase. Hence </w:t>
                  </w:r>
                  <w:r>
                    <w:rPr>
                      <w:i/>
                      <w:iCs/>
                    </w:rPr>
                    <w:t>b</w:t>
                  </w:r>
                  <w:r>
                    <w:t xml:space="preserve"> is smaller than </w:t>
                  </w:r>
                  <w:r>
                    <w:rPr>
                      <w:i/>
                      <w:iCs/>
                    </w:rPr>
                    <w:t>k</w:t>
                  </w:r>
                  <w:r>
                    <w:t xml:space="preserve">; thus </w:t>
                  </w:r>
                  <w:r>
                    <w:rPr>
                      <w:i/>
                      <w:iCs/>
                    </w:rPr>
                    <w:t>k</w:t>
                  </w:r>
                  <w:r>
                    <w:t xml:space="preserve"> is a true elimination constant, whereas </w:t>
                  </w:r>
                  <w:r>
                    <w:rPr>
                      <w:i/>
                      <w:iCs/>
                    </w:rPr>
                    <w:t>b</w:t>
                  </w:r>
                  <w:r>
                    <w:t xml:space="preserve"> is a hybrid elimination rate constant that is influenced by the rate of transfer of drug in and out of the tissue compartment. When it is impractical to determine </w:t>
                  </w:r>
                  <w:r>
                    <w:rPr>
                      <w:i/>
                      <w:iCs/>
                    </w:rPr>
                    <w:t>k</w:t>
                  </w:r>
                  <w:r>
                    <w:t xml:space="preserve">, </w:t>
                  </w:r>
                  <w:r>
                    <w:rPr>
                      <w:i/>
                      <w:iCs/>
                    </w:rPr>
                    <w:t>b</w:t>
                  </w:r>
                  <w:r>
                    <w:t xml:space="preserve"> is calculated from the </w:t>
                  </w:r>
                  <w:r>
                    <w:rPr>
                      <w:i/>
                      <w:iCs/>
                    </w:rPr>
                    <w:t>b</w:t>
                  </w:r>
                  <w:r>
                    <w:t xml:space="preserve"> slope. The </w:t>
                  </w:r>
                  <w:r>
                    <w:rPr>
                      <w:i/>
                      <w:iCs/>
                    </w:rPr>
                    <w:t>t</w:t>
                  </w:r>
                  <w:r>
                    <w:t xml:space="preserve"> </w:t>
                  </w:r>
                  <w:r>
                    <w:rPr>
                      <w:vertAlign w:val="subscript"/>
                    </w:rPr>
                    <w:t>1/2</w:t>
                  </w:r>
                  <w:r>
                    <w:t xml:space="preserve"> </w:t>
                  </w:r>
                  <w:r>
                    <w:rPr>
                      <w:noProof/>
                      <w:vertAlign w:val="subscript"/>
                    </w:rPr>
                    <mc:AlternateContent>
                      <mc:Choice Requires="wps">
                        <w:drawing>
                          <wp:inline distT="0" distB="0" distL="0" distR="0" wp14:anchorId="12F053BD" wp14:editId="320A2833">
                            <wp:extent cx="304800" cy="304800"/>
                            <wp:effectExtent l="0" t="0" r="0" b="0"/>
                            <wp:docPr id="401658840"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3A4C9"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is often used to calculate the drug dose.</w:t>
                  </w:r>
                </w:p>
              </w:tc>
            </w:tr>
          </w:tbl>
          <w:p w14:paraId="4E18F55D" w14:textId="77777777" w:rsidR="00556141" w:rsidRDefault="00556141">
            <w:pPr>
              <w:rPr>
                <w:vanish/>
              </w:rPr>
            </w:pPr>
            <w:bookmarkStart w:id="186" w:name="2486187"/>
            <w:bookmarkEnd w:id="186"/>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24397D20" w14:textId="77777777">
              <w:trPr>
                <w:tblCellSpacing w:w="0" w:type="dxa"/>
              </w:trPr>
              <w:tc>
                <w:tcPr>
                  <w:tcW w:w="0" w:type="auto"/>
                  <w:shd w:val="clear" w:color="auto" w:fill="FFFFFF"/>
                  <w:hideMark/>
                </w:tcPr>
                <w:p w14:paraId="2E89BE30" w14:textId="77777777" w:rsidR="00556141" w:rsidRDefault="00556141">
                  <w:pPr>
                    <w:pStyle w:val="contenthead1"/>
                  </w:pPr>
                  <w:r>
                    <w:t>Three-Compartment Open Model</w:t>
                  </w:r>
                </w:p>
                <w:p w14:paraId="75520343" w14:textId="77777777" w:rsidR="00556141" w:rsidRDefault="00556141">
                  <w:pPr>
                    <w:pStyle w:val="contentbody"/>
                  </w:pPr>
                  <w:bookmarkStart w:id="187" w:name="2486188"/>
                  <w:bookmarkEnd w:id="187"/>
                  <w:r>
                    <w:t>The three-compartment model is an extension of the two-compartment model, with an additional deep tissue compartment. A drug that demonstrates the necessity of a three-compartment open model is distributed most rapidly to a highly perfused central compartment, less rapidly to the second or tissue compartment, and very slowly to the third or deep tissue compartment, containing such poorly perfused tissue as bone and fat. The deep tissue compartment may also represent tightly bound drug in the tissues. The three-compartment open model is shown in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24E1886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671053F0" w14:textId="77777777">
                          <w:trPr>
                            <w:tblCellSpacing w:w="7" w:type="dxa"/>
                          </w:trPr>
                          <w:tc>
                            <w:tcPr>
                              <w:tcW w:w="0" w:type="auto"/>
                              <w:shd w:val="clear" w:color="auto" w:fill="CCCCCC"/>
                              <w:vAlign w:val="center"/>
                              <w:hideMark/>
                            </w:tcPr>
                            <w:p w14:paraId="66541AA6" w14:textId="77777777" w:rsidR="00556141" w:rsidRDefault="00556141">
                              <w:pPr>
                                <w:pStyle w:val="tabletitle"/>
                              </w:pPr>
                              <w:bookmarkStart w:id="188" w:name="2486283"/>
                              <w:bookmarkEnd w:id="188"/>
                              <w:r>
                                <w:t>Figure 4-7.</w:t>
                              </w:r>
                            </w:p>
                            <w:p w14:paraId="438F2F24" w14:textId="77777777" w:rsidR="00556141" w:rsidRDefault="00556141"/>
                          </w:tc>
                        </w:tr>
                      </w:tbl>
                      <w:p w14:paraId="7871128C" w14:textId="77777777" w:rsidR="00556141" w:rsidRDefault="00556141"/>
                    </w:tc>
                  </w:tr>
                  <w:tr w:rsidR="00556141" w14:paraId="0C846E2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43737384" w14:textId="77777777">
                          <w:trPr>
                            <w:tblCellSpacing w:w="7" w:type="dxa"/>
                          </w:trPr>
                          <w:tc>
                            <w:tcPr>
                              <w:tcW w:w="0" w:type="auto"/>
                              <w:shd w:val="clear" w:color="auto" w:fill="FFFFFF"/>
                              <w:vAlign w:val="center"/>
                              <w:hideMark/>
                            </w:tcPr>
                            <w:p w14:paraId="7B3BE2A9" w14:textId="47466E46" w:rsidR="00556141" w:rsidRDefault="00556141">
                              <w:pPr>
                                <w:jc w:val="center"/>
                                <w:rPr>
                                  <w:sz w:val="24"/>
                                  <w:szCs w:val="24"/>
                                </w:rPr>
                              </w:pPr>
                              <w:r>
                                <w:rPr>
                                  <w:noProof/>
                                </w:rPr>
                                <mc:AlternateContent>
                                  <mc:Choice Requires="wps">
                                    <w:drawing>
                                      <wp:inline distT="0" distB="0" distL="0" distR="0" wp14:anchorId="28C946D7" wp14:editId="7676D140">
                                        <wp:extent cx="304800" cy="304800"/>
                                        <wp:effectExtent l="0" t="0" r="0" b="0"/>
                                        <wp:docPr id="1828124428"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613B5"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4D46FC1B" w14:textId="77777777">
                          <w:trPr>
                            <w:tblCellSpacing w:w="7" w:type="dxa"/>
                          </w:trPr>
                          <w:tc>
                            <w:tcPr>
                              <w:tcW w:w="0" w:type="auto"/>
                              <w:shd w:val="clear" w:color="auto" w:fill="FFFFFF"/>
                              <w:vAlign w:val="center"/>
                              <w:hideMark/>
                            </w:tcPr>
                            <w:p w14:paraId="3F236E30" w14:textId="77777777" w:rsidR="00556141" w:rsidRDefault="00556141">
                              <w:pPr>
                                <w:pStyle w:val="font11"/>
                              </w:pPr>
                              <w:bookmarkStart w:id="189" w:name="2486284"/>
                              <w:bookmarkEnd w:id="189"/>
                              <w:r>
                                <w:t>Three-compartment open model. This model, as with the previous two-compartment models, assumes that all drug elimination occurs via the central compartment.</w:t>
                              </w:r>
                            </w:p>
                          </w:tc>
                        </w:tr>
                      </w:tbl>
                      <w:p w14:paraId="37427B64" w14:textId="77777777" w:rsidR="00556141" w:rsidRDefault="00556141"/>
                    </w:tc>
                  </w:tr>
                </w:tbl>
                <w:p w14:paraId="4F831BFF" w14:textId="77777777" w:rsidR="00556141" w:rsidRDefault="00556141">
                  <w:pPr>
                    <w:rPr>
                      <w:sz w:val="24"/>
                      <w:szCs w:val="24"/>
                    </w:rPr>
                  </w:pPr>
                  <w:bookmarkStart w:id="190" w:name="2486189"/>
                  <w:bookmarkEnd w:id="190"/>
                </w:p>
                <w:p w14:paraId="73D5DE33" w14:textId="77777777" w:rsidR="00556141" w:rsidRDefault="00556141">
                  <w:pPr>
                    <w:pStyle w:val="contentbody"/>
                  </w:pPr>
                  <w:r>
                    <w:t>A solution of the differential equation describing the rates of flow of drug into and out of the central compartment gives the following equation:</w:t>
                  </w:r>
                </w:p>
                <w:p w14:paraId="6EBA3F30" w14:textId="2E8A0BC5" w:rsidR="00556141" w:rsidRDefault="00556141">
                  <w:pPr>
                    <w:pStyle w:val="contentbody"/>
                  </w:pPr>
                  <w:bookmarkStart w:id="191" w:name="2486337"/>
                  <w:bookmarkStart w:id="192" w:name="2486190"/>
                  <w:bookmarkEnd w:id="191"/>
                  <w:bookmarkEnd w:id="192"/>
                  <w:r>
                    <w:rPr>
                      <w:noProof/>
                    </w:rPr>
                    <mc:AlternateContent>
                      <mc:Choice Requires="wps">
                        <w:drawing>
                          <wp:inline distT="0" distB="0" distL="0" distR="0" wp14:anchorId="4CAF5D07" wp14:editId="5AFCC7CE">
                            <wp:extent cx="304800" cy="304800"/>
                            <wp:effectExtent l="0" t="0" r="0" b="0"/>
                            <wp:docPr id="516783379"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291C1" id="Rectangle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170D98" w14:textId="77777777" w:rsidR="00556141" w:rsidRDefault="00556141">
                  <w:pPr>
                    <w:pStyle w:val="contentbody"/>
                  </w:pPr>
                  <w:bookmarkStart w:id="193" w:name="2486191"/>
                  <w:bookmarkEnd w:id="193"/>
                  <w:r>
                    <w:t xml:space="preserve">where </w:t>
                  </w:r>
                  <w:r>
                    <w:rPr>
                      <w:i/>
                      <w:iCs/>
                    </w:rPr>
                    <w:t>A</w:t>
                  </w:r>
                  <w:r>
                    <w:t xml:space="preserve">, </w:t>
                  </w:r>
                  <w:r>
                    <w:rPr>
                      <w:i/>
                      <w:iCs/>
                    </w:rPr>
                    <w:t>B</w:t>
                  </w:r>
                  <w:r>
                    <w:t xml:space="preserve">, and </w:t>
                  </w:r>
                  <w:r>
                    <w:rPr>
                      <w:i/>
                      <w:iCs/>
                    </w:rPr>
                    <w:t xml:space="preserve">C </w:t>
                  </w:r>
                  <w:r>
                    <w:t>are the</w:t>
                  </w:r>
                  <w:r>
                    <w:rPr>
                      <w:i/>
                      <w:iCs/>
                    </w:rPr>
                    <w:t xml:space="preserve"> y </w:t>
                  </w:r>
                  <w:r>
                    <w:t>intercepts of extrapolated lines for the central, tissue, and deep tissue compartments, respectively, and</w:t>
                  </w:r>
                  <w:r>
                    <w:rPr>
                      <w:i/>
                      <w:iCs/>
                    </w:rPr>
                    <w:t xml:space="preserve"> a</w:t>
                  </w:r>
                  <w:r>
                    <w:t xml:space="preserve">, </w:t>
                  </w:r>
                  <w:r>
                    <w:rPr>
                      <w:i/>
                      <w:iCs/>
                    </w:rPr>
                    <w:t>b</w:t>
                  </w:r>
                  <w:r>
                    <w:t xml:space="preserve">, and </w:t>
                  </w:r>
                  <w:r>
                    <w:rPr>
                      <w:i/>
                      <w:iCs/>
                    </w:rPr>
                    <w:t>c</w:t>
                  </w:r>
                  <w:r>
                    <w:t xml:space="preserve"> are first-order rate constants for the central, tissue, and deep tissue compartments, respectively.</w:t>
                  </w:r>
                </w:p>
                <w:p w14:paraId="6171757B" w14:textId="77777777" w:rsidR="00556141" w:rsidRDefault="00556141">
                  <w:pPr>
                    <w:pStyle w:val="contentbody"/>
                  </w:pPr>
                  <w:bookmarkStart w:id="194" w:name="2486192"/>
                  <w:bookmarkEnd w:id="194"/>
                  <w:r>
                    <w:t>A three-compartment equation may be written by statisticians in the literature as</w:t>
                  </w:r>
                </w:p>
                <w:p w14:paraId="58B4D3DD" w14:textId="3DF61F21" w:rsidR="00556141" w:rsidRDefault="00556141">
                  <w:pPr>
                    <w:pStyle w:val="contentbody"/>
                  </w:pPr>
                  <w:bookmarkStart w:id="195" w:name="2486338"/>
                  <w:bookmarkStart w:id="196" w:name="2486193"/>
                  <w:bookmarkEnd w:id="195"/>
                  <w:bookmarkEnd w:id="196"/>
                  <w:r>
                    <w:rPr>
                      <w:noProof/>
                    </w:rPr>
                    <mc:AlternateContent>
                      <mc:Choice Requires="wps">
                        <w:drawing>
                          <wp:inline distT="0" distB="0" distL="0" distR="0" wp14:anchorId="7E90B4D9" wp14:editId="3A7BE467">
                            <wp:extent cx="304800" cy="304800"/>
                            <wp:effectExtent l="0" t="0" r="0" b="0"/>
                            <wp:docPr id="358415679"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0CF20" id="Rectangle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309982" w14:textId="7E77F7C0" w:rsidR="00556141" w:rsidRDefault="00556141">
                  <w:pPr>
                    <w:pStyle w:val="contentbody"/>
                  </w:pPr>
                  <w:bookmarkStart w:id="197" w:name="2486194"/>
                  <w:bookmarkEnd w:id="197"/>
                  <w:r>
                    <w:t xml:space="preserve">instead of </w:t>
                  </w:r>
                  <w:r>
                    <w:rPr>
                      <w:i/>
                      <w:iCs/>
                    </w:rPr>
                    <w:t>a</w:t>
                  </w:r>
                  <w:r>
                    <w:t xml:space="preserve">, </w:t>
                  </w:r>
                  <w:r>
                    <w:rPr>
                      <w:i/>
                      <w:iCs/>
                    </w:rPr>
                    <w:t>b</w:t>
                  </w:r>
                  <w:r>
                    <w:t xml:space="preserve">, </w:t>
                  </w:r>
                  <w:r>
                    <w:rPr>
                      <w:i/>
                      <w:iCs/>
                    </w:rPr>
                    <w:t>c</w:t>
                  </w:r>
                  <w:r>
                    <w:t xml:space="preserve">, etc., </w:t>
                  </w:r>
                  <w:r>
                    <w:rPr>
                      <w:noProof/>
                    </w:rPr>
                    <mc:AlternateContent>
                      <mc:Choice Requires="wps">
                        <w:drawing>
                          <wp:inline distT="0" distB="0" distL="0" distR="0" wp14:anchorId="1076EAD6" wp14:editId="2531B19F">
                            <wp:extent cx="304800" cy="304800"/>
                            <wp:effectExtent l="0" t="0" r="0" b="0"/>
                            <wp:docPr id="10986406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AF751" id="Rectangle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vertAlign w:val="subscript"/>
                    </w:rPr>
                    <w:t>1</w:t>
                  </w:r>
                  <w:r>
                    <w:t xml:space="preserve">, </w:t>
                  </w:r>
                  <w:r>
                    <w:rPr>
                      <w:noProof/>
                    </w:rPr>
                    <mc:AlternateContent>
                      <mc:Choice Requires="wps">
                        <w:drawing>
                          <wp:inline distT="0" distB="0" distL="0" distR="0" wp14:anchorId="3D1BCCEA" wp14:editId="74639C66">
                            <wp:extent cx="304800" cy="304800"/>
                            <wp:effectExtent l="0" t="0" r="0" b="0"/>
                            <wp:docPr id="755991386"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D8696" id="Rectangle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vertAlign w:val="subscript"/>
                    </w:rPr>
                    <w:t>2</w:t>
                  </w:r>
                  <w:r>
                    <w:t xml:space="preserve">, </w:t>
                  </w:r>
                  <w:r>
                    <w:rPr>
                      <w:noProof/>
                    </w:rPr>
                    <mc:AlternateContent>
                      <mc:Choice Requires="wps">
                        <w:drawing>
                          <wp:inline distT="0" distB="0" distL="0" distR="0" wp14:anchorId="6E90F72F" wp14:editId="782E8A1D">
                            <wp:extent cx="304800" cy="304800"/>
                            <wp:effectExtent l="0" t="0" r="0" b="0"/>
                            <wp:docPr id="1953292766"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43756" id="Rectangle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vertAlign w:val="subscript"/>
                    </w:rPr>
                    <w:t xml:space="preserve">3 </w:t>
                  </w:r>
                  <w:r>
                    <w:t xml:space="preserve">are substituted to express the triexponential feature of the equation. Similarly, the </w:t>
                  </w:r>
                  <w:r>
                    <w:rPr>
                      <w:i/>
                      <w:iCs/>
                    </w:rPr>
                    <w:t>n</w:t>
                  </w:r>
                  <w:r>
                    <w:t xml:space="preserve">-compartment model may be expressed with </w:t>
                  </w:r>
                  <w:r>
                    <w:rPr>
                      <w:noProof/>
                    </w:rPr>
                    <mc:AlternateContent>
                      <mc:Choice Requires="wps">
                        <w:drawing>
                          <wp:inline distT="0" distB="0" distL="0" distR="0" wp14:anchorId="4A67BF88" wp14:editId="7329A27E">
                            <wp:extent cx="304800" cy="304800"/>
                            <wp:effectExtent l="0" t="0" r="0" b="0"/>
                            <wp:docPr id="184923932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3D4FA" id="Rectangle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vertAlign w:val="subscript"/>
                    </w:rPr>
                    <w:t>1</w:t>
                  </w:r>
                  <w:r>
                    <w:t xml:space="preserve">, </w:t>
                  </w:r>
                  <w:r>
                    <w:rPr>
                      <w:noProof/>
                    </w:rPr>
                    <mc:AlternateContent>
                      <mc:Choice Requires="wps">
                        <w:drawing>
                          <wp:inline distT="0" distB="0" distL="0" distR="0" wp14:anchorId="092BAF2F" wp14:editId="6CC84410">
                            <wp:extent cx="304800" cy="304800"/>
                            <wp:effectExtent l="0" t="0" r="0" b="0"/>
                            <wp:docPr id="1527435794"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8E382" id="Rectangle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vertAlign w:val="subscript"/>
                    </w:rPr>
                    <w:t>2</w:t>
                  </w:r>
                  <w:r>
                    <w:t xml:space="preserve">, . . ., </w:t>
                  </w:r>
                  <w:r>
                    <w:rPr>
                      <w:noProof/>
                    </w:rPr>
                    <mc:AlternateContent>
                      <mc:Choice Requires="wps">
                        <w:drawing>
                          <wp:inline distT="0" distB="0" distL="0" distR="0" wp14:anchorId="6BEC4B54" wp14:editId="04BCD1C1">
                            <wp:extent cx="304800" cy="304800"/>
                            <wp:effectExtent l="0" t="0" r="0" b="0"/>
                            <wp:docPr id="810609808"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9EA90" id="Rectangl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vertAlign w:val="subscript"/>
                    </w:rPr>
                    <w:t xml:space="preserve">n </w:t>
                  </w:r>
                  <w:r>
                    <w:t xml:space="preserve">. In classical pharmacokinetics, the symbols </w:t>
                  </w:r>
                  <w:r>
                    <w:rPr>
                      <w:i/>
                      <w:iCs/>
                    </w:rPr>
                    <w:t>a</w:t>
                  </w:r>
                  <w:r>
                    <w:t xml:space="preserve">, </w:t>
                  </w:r>
                  <w:r>
                    <w:rPr>
                      <w:i/>
                      <w:iCs/>
                    </w:rPr>
                    <w:t>b</w:t>
                  </w:r>
                  <w:r>
                    <w:t xml:space="preserve">, </w:t>
                  </w:r>
                  <w:r>
                    <w:rPr>
                      <w:i/>
                      <w:iCs/>
                    </w:rPr>
                    <w:t>c</w:t>
                  </w:r>
                  <w:r>
                    <w:t xml:space="preserve"> that we have adopted are actually Greek symbols, </w:t>
                  </w:r>
                  <w:r>
                    <w:rPr>
                      <w:noProof/>
                    </w:rPr>
                    <mc:AlternateContent>
                      <mc:Choice Requires="wps">
                        <w:drawing>
                          <wp:inline distT="0" distB="0" distL="0" distR="0" wp14:anchorId="6312CAA0" wp14:editId="1AAA7E96">
                            <wp:extent cx="304800" cy="304800"/>
                            <wp:effectExtent l="0" t="0" r="0" b="0"/>
                            <wp:docPr id="439289135"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B601E" id="Rectangle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r>
                    <w:rPr>
                      <w:noProof/>
                    </w:rPr>
                    <mc:AlternateContent>
                      <mc:Choice Requires="wps">
                        <w:drawing>
                          <wp:inline distT="0" distB="0" distL="0" distR="0" wp14:anchorId="62F458BB" wp14:editId="106DA016">
                            <wp:extent cx="304800" cy="304800"/>
                            <wp:effectExtent l="0" t="0" r="0" b="0"/>
                            <wp:docPr id="1647053743"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0D5BD" id="Rectangle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r>
                    <w:rPr>
                      <w:noProof/>
                    </w:rPr>
                    <mc:AlternateContent>
                      <mc:Choice Requires="wps">
                        <w:drawing>
                          <wp:inline distT="0" distB="0" distL="0" distR="0" wp14:anchorId="52FCDA65" wp14:editId="77AD3175">
                            <wp:extent cx="304800" cy="304800"/>
                            <wp:effectExtent l="0" t="0" r="0" b="0"/>
                            <wp:docPr id="829681752"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D74B62"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The preexponential terms are sometimes expressed as </w:t>
                  </w:r>
                  <w:r>
                    <w:rPr>
                      <w:i/>
                      <w:iCs/>
                    </w:rPr>
                    <w:t>C</w:t>
                  </w:r>
                  <w:r>
                    <w:t xml:space="preserve"> </w:t>
                  </w:r>
                  <w:r>
                    <w:rPr>
                      <w:vertAlign w:val="subscript"/>
                    </w:rPr>
                    <w:t>1</w:t>
                  </w:r>
                  <w:r>
                    <w:t xml:space="preserve">, </w:t>
                  </w:r>
                  <w:r>
                    <w:rPr>
                      <w:i/>
                      <w:iCs/>
                    </w:rPr>
                    <w:t>C</w:t>
                  </w:r>
                  <w:r>
                    <w:t xml:space="preserve"> </w:t>
                  </w:r>
                  <w:r>
                    <w:rPr>
                      <w:vertAlign w:val="subscript"/>
                    </w:rPr>
                    <w:t>2</w:t>
                  </w:r>
                  <w:r>
                    <w:t xml:space="preserve">, and </w:t>
                  </w:r>
                  <w:r>
                    <w:rPr>
                      <w:i/>
                      <w:iCs/>
                    </w:rPr>
                    <w:t>C</w:t>
                  </w:r>
                  <w:r>
                    <w:t xml:space="preserve"> </w:t>
                  </w:r>
                  <w:r>
                    <w:rPr>
                      <w:vertAlign w:val="subscript"/>
                    </w:rPr>
                    <w:t>3</w:t>
                  </w:r>
                  <w:r>
                    <w:t>.</w:t>
                  </w:r>
                </w:p>
                <w:p w14:paraId="5F7DC9FF" w14:textId="77777777" w:rsidR="00556141" w:rsidRDefault="00556141">
                  <w:pPr>
                    <w:pStyle w:val="contentbody"/>
                  </w:pPr>
                  <w:bookmarkStart w:id="198" w:name="2486195"/>
                  <w:bookmarkEnd w:id="198"/>
                  <w:r>
                    <w:t xml:space="preserve">The parameters in Equation 4.43 may be solved graphically by the method of residuals () or by computer. The calculations for the elimination rate constant </w:t>
                  </w:r>
                  <w:r>
                    <w:rPr>
                      <w:i/>
                      <w:iCs/>
                    </w:rPr>
                    <w:t>k</w:t>
                  </w:r>
                  <w:r>
                    <w:t>, volume of the central compartment, and area are shown in the following equations:</w:t>
                  </w:r>
                </w:p>
                <w:p w14:paraId="77BB1732" w14:textId="059A11A8" w:rsidR="00556141" w:rsidRDefault="00556141">
                  <w:pPr>
                    <w:pStyle w:val="contentbody"/>
                  </w:pPr>
                  <w:bookmarkStart w:id="199" w:name="2486339"/>
                  <w:bookmarkStart w:id="200" w:name="2486196"/>
                  <w:bookmarkEnd w:id="199"/>
                  <w:bookmarkEnd w:id="200"/>
                  <w:r>
                    <w:rPr>
                      <w:noProof/>
                    </w:rPr>
                    <mc:AlternateContent>
                      <mc:Choice Requires="wps">
                        <w:drawing>
                          <wp:inline distT="0" distB="0" distL="0" distR="0" wp14:anchorId="49533413" wp14:editId="564A9099">
                            <wp:extent cx="304800" cy="304800"/>
                            <wp:effectExtent l="0" t="0" r="0" b="0"/>
                            <wp:docPr id="1312602527"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CF109" id="Rectangl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30BCC201"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0D080B85" w14:textId="77777777">
                          <w:trPr>
                            <w:tblCellSpacing w:w="7" w:type="dxa"/>
                          </w:trPr>
                          <w:tc>
                            <w:tcPr>
                              <w:tcW w:w="0" w:type="auto"/>
                              <w:shd w:val="clear" w:color="auto" w:fill="CCCCCC"/>
                              <w:vAlign w:val="center"/>
                              <w:hideMark/>
                            </w:tcPr>
                            <w:p w14:paraId="5F75D804" w14:textId="77777777" w:rsidR="00556141" w:rsidRDefault="00556141">
                              <w:pPr>
                                <w:pStyle w:val="tabletitle"/>
                              </w:pPr>
                              <w:bookmarkStart w:id="201" w:name="2486285"/>
                              <w:bookmarkEnd w:id="201"/>
                              <w:r>
                                <w:t>Figure 4-8.</w:t>
                              </w:r>
                            </w:p>
                            <w:p w14:paraId="46ECFF39" w14:textId="77777777" w:rsidR="00556141" w:rsidRDefault="00556141"/>
                          </w:tc>
                        </w:tr>
                      </w:tbl>
                      <w:p w14:paraId="08AEB0AE" w14:textId="77777777" w:rsidR="00556141" w:rsidRDefault="00556141"/>
                    </w:tc>
                  </w:tr>
                  <w:tr w:rsidR="00556141" w14:paraId="0562F69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35B8628D" w14:textId="77777777">
                          <w:trPr>
                            <w:tblCellSpacing w:w="7" w:type="dxa"/>
                          </w:trPr>
                          <w:tc>
                            <w:tcPr>
                              <w:tcW w:w="0" w:type="auto"/>
                              <w:shd w:val="clear" w:color="auto" w:fill="FFFFFF"/>
                              <w:vAlign w:val="center"/>
                              <w:hideMark/>
                            </w:tcPr>
                            <w:p w14:paraId="546B5C15" w14:textId="32F6F544" w:rsidR="00556141" w:rsidRDefault="00556141">
                              <w:pPr>
                                <w:jc w:val="center"/>
                                <w:rPr>
                                  <w:sz w:val="24"/>
                                  <w:szCs w:val="24"/>
                                </w:rPr>
                              </w:pPr>
                              <w:r>
                                <w:rPr>
                                  <w:noProof/>
                                </w:rPr>
                                <mc:AlternateContent>
                                  <mc:Choice Requires="wps">
                                    <w:drawing>
                                      <wp:inline distT="0" distB="0" distL="0" distR="0" wp14:anchorId="18019F83" wp14:editId="661E4982">
                                        <wp:extent cx="304800" cy="304800"/>
                                        <wp:effectExtent l="0" t="0" r="0" b="0"/>
                                        <wp:docPr id="579773221"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6DE9B" id="Rectangle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6EC54D1A" w14:textId="77777777">
                          <w:trPr>
                            <w:tblCellSpacing w:w="7" w:type="dxa"/>
                          </w:trPr>
                          <w:tc>
                            <w:tcPr>
                              <w:tcW w:w="0" w:type="auto"/>
                              <w:shd w:val="clear" w:color="auto" w:fill="FFFFFF"/>
                              <w:vAlign w:val="center"/>
                              <w:hideMark/>
                            </w:tcPr>
                            <w:p w14:paraId="7DA99BA7" w14:textId="77777777" w:rsidR="00556141" w:rsidRDefault="00556141">
                              <w:pPr>
                                <w:pStyle w:val="font11"/>
                              </w:pPr>
                              <w:bookmarkStart w:id="202" w:name="2486286"/>
                              <w:bookmarkEnd w:id="202"/>
                              <w:r>
                                <w:t>Plasma level–time curve for a three-compartment open model. The rate constants and intercepts were calculated by the method of residuals.</w:t>
                              </w:r>
                            </w:p>
                          </w:tc>
                        </w:tr>
                      </w:tbl>
                      <w:p w14:paraId="222BCCF7" w14:textId="77777777" w:rsidR="00556141" w:rsidRDefault="00556141"/>
                    </w:tc>
                  </w:tr>
                </w:tbl>
                <w:p w14:paraId="409A2CE2" w14:textId="77777777" w:rsidR="00556141" w:rsidRDefault="00556141">
                  <w:pPr>
                    <w:pStyle w:val="contenthead2"/>
                  </w:pPr>
                  <w:bookmarkStart w:id="203" w:name="2486199"/>
                  <w:bookmarkEnd w:id="203"/>
                  <w:r>
                    <w:t>Practical Focus</w:t>
                  </w:r>
                </w:p>
                <w:p w14:paraId="75B8BEE1" w14:textId="77777777" w:rsidR="00556141" w:rsidRDefault="00556141">
                  <w:pPr>
                    <w:pStyle w:val="contentbody"/>
                  </w:pPr>
                  <w:bookmarkStart w:id="204" w:name="2486200"/>
                  <w:bookmarkEnd w:id="204"/>
                  <w:r>
                    <w:rPr>
                      <w:b/>
                      <w:bCs/>
                    </w:rPr>
                    <w:t>Hydromorphone (Dilaudid)</w:t>
                  </w:r>
                  <w:r>
                    <w:t xml:space="preserve"> </w:t>
                  </w:r>
                </w:p>
                <w:p w14:paraId="4B7FA357" w14:textId="77777777" w:rsidR="00556141" w:rsidRDefault="00556141">
                  <w:pPr>
                    <w:pStyle w:val="contentbody"/>
                  </w:pPr>
                  <w:bookmarkStart w:id="205" w:name="2486201"/>
                  <w:bookmarkEnd w:id="205"/>
                  <w:r>
                    <w:t>Three independent studies on the pharmacokinetics of hydromorphone after a bolus intravenous injection reported that hydromorphone followed the pharmacokinetics of a one-compartment model (), a two-compartment model () or a three-compartment model (), respectively. A comparison of these studies is listed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28"/>
                  </w:tblGrid>
                  <w:tr w:rsidR="00556141" w14:paraId="53AAB4FC"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198"/>
                        </w:tblGrid>
                        <w:tr w:rsidR="00556141" w14:paraId="62E00179" w14:textId="77777777">
                          <w:trPr>
                            <w:tblCellSpacing w:w="0" w:type="dxa"/>
                          </w:trPr>
                          <w:tc>
                            <w:tcPr>
                              <w:tcW w:w="0" w:type="auto"/>
                              <w:vAlign w:val="center"/>
                              <w:hideMark/>
                            </w:tcPr>
                            <w:p w14:paraId="7AAA2621" w14:textId="77777777" w:rsidR="00556141" w:rsidRDefault="00556141">
                              <w:pPr>
                                <w:pStyle w:val="tabletitle"/>
                              </w:pPr>
                              <w:bookmarkStart w:id="206" w:name="2486267"/>
                              <w:bookmarkEnd w:id="206"/>
                              <w:r>
                                <w:t>Table 4.7 Comparison of Hydromorphone Pharmacokinetics</w:t>
                              </w:r>
                            </w:p>
                            <w:p w14:paraId="6C85C4E9" w14:textId="77777777" w:rsidR="00556141" w:rsidRDefault="00556141"/>
                          </w:tc>
                        </w:tr>
                      </w:tbl>
                      <w:p w14:paraId="46A56F46" w14:textId="77777777" w:rsidR="00556141" w:rsidRDefault="00556141"/>
                    </w:tc>
                  </w:tr>
                  <w:tr w:rsidR="00556141" w14:paraId="70A7E0D0"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924"/>
                          <w:gridCol w:w="3362"/>
                          <w:gridCol w:w="2942"/>
                        </w:tblGrid>
                        <w:tr w:rsidR="00556141" w14:paraId="302361CD" w14:textId="77777777">
                          <w:trPr>
                            <w:tblHeader/>
                            <w:tblCellSpacing w:w="7" w:type="dxa"/>
                          </w:trPr>
                          <w:tc>
                            <w:tcPr>
                              <w:tcW w:w="0" w:type="auto"/>
                              <w:shd w:val="clear" w:color="auto" w:fill="FFFFFF"/>
                              <w:hideMark/>
                            </w:tcPr>
                            <w:p w14:paraId="56EDF83E" w14:textId="77777777" w:rsidR="00556141" w:rsidRDefault="00556141">
                              <w:pPr>
                                <w:rPr>
                                  <w:b/>
                                  <w:bCs/>
                                  <w:sz w:val="24"/>
                                  <w:szCs w:val="24"/>
                                </w:rPr>
                              </w:pPr>
                              <w:r>
                                <w:rPr>
                                  <w:b/>
                                  <w:bCs/>
                                </w:rPr>
                                <w:t>Study</w:t>
                              </w:r>
                            </w:p>
                          </w:tc>
                          <w:tc>
                            <w:tcPr>
                              <w:tcW w:w="0" w:type="auto"/>
                              <w:shd w:val="clear" w:color="auto" w:fill="FFFFFF"/>
                              <w:hideMark/>
                            </w:tcPr>
                            <w:p w14:paraId="0259546B" w14:textId="77777777" w:rsidR="00556141" w:rsidRDefault="00556141">
                              <w:pPr>
                                <w:rPr>
                                  <w:b/>
                                  <w:bCs/>
                                </w:rPr>
                              </w:pPr>
                              <w:r>
                                <w:rPr>
                                  <w:b/>
                                  <w:bCs/>
                                </w:rPr>
                                <w:t>Timing of Blood Samples</w:t>
                              </w:r>
                            </w:p>
                          </w:tc>
                          <w:tc>
                            <w:tcPr>
                              <w:tcW w:w="0" w:type="auto"/>
                              <w:shd w:val="clear" w:color="auto" w:fill="FFFFFF"/>
                              <w:hideMark/>
                            </w:tcPr>
                            <w:p w14:paraId="380843F2" w14:textId="77777777" w:rsidR="00556141" w:rsidRDefault="00556141">
                              <w:pPr>
                                <w:rPr>
                                  <w:b/>
                                  <w:bCs/>
                                </w:rPr>
                              </w:pPr>
                              <w:r>
                                <w:rPr>
                                  <w:b/>
                                  <w:bCs/>
                                </w:rPr>
                                <w:t>Pharmacokinetic Parameters</w:t>
                              </w:r>
                            </w:p>
                          </w:tc>
                        </w:tr>
                        <w:tr w:rsidR="00556141" w14:paraId="296F9D29" w14:textId="77777777">
                          <w:trPr>
                            <w:tblCellSpacing w:w="7" w:type="dxa"/>
                          </w:trPr>
                          <w:tc>
                            <w:tcPr>
                              <w:tcW w:w="0" w:type="auto"/>
                              <w:shd w:val="clear" w:color="auto" w:fill="FFFFFF"/>
                              <w:hideMark/>
                            </w:tcPr>
                            <w:p w14:paraId="586BB982" w14:textId="77777777" w:rsidR="00556141" w:rsidRDefault="00556141">
                              <w:r>
                                <w:t>6 Males, 25–29 yrs; mean weight, 76.8 kg</w:t>
                              </w:r>
                            </w:p>
                          </w:tc>
                          <w:tc>
                            <w:tcPr>
                              <w:tcW w:w="0" w:type="auto"/>
                              <w:shd w:val="clear" w:color="auto" w:fill="FFFFFF"/>
                              <w:hideMark/>
                            </w:tcPr>
                            <w:p w14:paraId="37B8875E" w14:textId="77777777" w:rsidR="00556141" w:rsidRDefault="00556141">
                              <w:r>
                                <w:t>0, 15, 30, 45 min</w:t>
                              </w:r>
                            </w:p>
                          </w:tc>
                          <w:tc>
                            <w:tcPr>
                              <w:tcW w:w="0" w:type="auto"/>
                              <w:shd w:val="clear" w:color="auto" w:fill="FFFFFF"/>
                              <w:hideMark/>
                            </w:tcPr>
                            <w:p w14:paraId="3D2E0481" w14:textId="77777777" w:rsidR="00556141" w:rsidRDefault="00556141">
                              <w:r>
                                <w:t>One-compartment model</w:t>
                              </w:r>
                            </w:p>
                          </w:tc>
                        </w:tr>
                        <w:tr w:rsidR="00556141" w14:paraId="04F04E59" w14:textId="77777777">
                          <w:trPr>
                            <w:tblCellSpacing w:w="7" w:type="dxa"/>
                          </w:trPr>
                          <w:tc>
                            <w:tcPr>
                              <w:tcW w:w="0" w:type="auto"/>
                              <w:shd w:val="clear" w:color="auto" w:fill="FFFFFF"/>
                              <w:hideMark/>
                            </w:tcPr>
                            <w:p w14:paraId="39ECEEA2" w14:textId="77777777" w:rsidR="00556141" w:rsidRDefault="00556141"/>
                          </w:tc>
                          <w:tc>
                            <w:tcPr>
                              <w:tcW w:w="0" w:type="auto"/>
                              <w:shd w:val="clear" w:color="auto" w:fill="FFFFFF"/>
                              <w:hideMark/>
                            </w:tcPr>
                            <w:p w14:paraId="518B944B" w14:textId="77777777" w:rsidR="00556141" w:rsidRDefault="00556141">
                              <w:pPr>
                                <w:rPr>
                                  <w:sz w:val="24"/>
                                  <w:szCs w:val="24"/>
                                </w:rPr>
                              </w:pPr>
                              <w:r>
                                <w:t>1, 1.5, 2, 3, 4, 6, 8, 10, 12 hr</w:t>
                              </w:r>
                            </w:p>
                          </w:tc>
                          <w:tc>
                            <w:tcPr>
                              <w:tcW w:w="0" w:type="auto"/>
                              <w:shd w:val="clear" w:color="auto" w:fill="FFFFFF"/>
                              <w:hideMark/>
                            </w:tcPr>
                            <w:p w14:paraId="72C4DA1C" w14:textId="77777777" w:rsidR="00556141" w:rsidRDefault="00556141">
                              <w:r>
                                <w:t xml:space="preserve">Terminal </w:t>
                              </w:r>
                              <w:r>
                                <w:rPr>
                                  <w:i/>
                                  <w:iCs/>
                                </w:rPr>
                                <w:t>t</w:t>
                              </w:r>
                              <w:r>
                                <w:t xml:space="preserve"> </w:t>
                              </w:r>
                              <w:r>
                                <w:rPr>
                                  <w:vertAlign w:val="subscript"/>
                                </w:rPr>
                                <w:t>1/2</w:t>
                              </w:r>
                              <w:r>
                                <w:t xml:space="preserve"> = 2.64 ( ± 0.88) hr</w:t>
                              </w:r>
                              <w:r>
                                <w:br/>
                                <w:t> </w:t>
                              </w:r>
                            </w:p>
                          </w:tc>
                        </w:tr>
                        <w:tr w:rsidR="00556141" w14:paraId="038DDACB" w14:textId="77777777">
                          <w:trPr>
                            <w:tblCellSpacing w:w="7" w:type="dxa"/>
                          </w:trPr>
                          <w:tc>
                            <w:tcPr>
                              <w:tcW w:w="0" w:type="auto"/>
                              <w:shd w:val="clear" w:color="auto" w:fill="FFFFFF"/>
                              <w:hideMark/>
                            </w:tcPr>
                            <w:p w14:paraId="11FA6EA6" w14:textId="77777777" w:rsidR="00556141" w:rsidRDefault="00556141">
                              <w:r>
                                <w:t>Dose, 2-mg IV bolus</w:t>
                              </w:r>
                            </w:p>
                          </w:tc>
                          <w:tc>
                            <w:tcPr>
                              <w:tcW w:w="0" w:type="auto"/>
                              <w:shd w:val="clear" w:color="auto" w:fill="FFFFFF"/>
                              <w:hideMark/>
                            </w:tcPr>
                            <w:p w14:paraId="4F738044" w14:textId="77777777" w:rsidR="00556141" w:rsidRDefault="00556141">
                              <w:r>
                                <w:t> </w:t>
                              </w:r>
                            </w:p>
                          </w:tc>
                          <w:tc>
                            <w:tcPr>
                              <w:tcW w:w="0" w:type="auto"/>
                              <w:shd w:val="clear" w:color="auto" w:fill="FFFFFF"/>
                              <w:hideMark/>
                            </w:tcPr>
                            <w:p w14:paraId="1D0C7FC1" w14:textId="77777777" w:rsidR="00556141" w:rsidRDefault="00556141">
                              <w:r>
                                <w:t> </w:t>
                              </w:r>
                            </w:p>
                          </w:tc>
                        </w:tr>
                        <w:tr w:rsidR="00556141" w14:paraId="33AAA929" w14:textId="77777777">
                          <w:trPr>
                            <w:tblCellSpacing w:w="7" w:type="dxa"/>
                          </w:trPr>
                          <w:tc>
                            <w:tcPr>
                              <w:tcW w:w="0" w:type="auto"/>
                              <w:shd w:val="clear" w:color="auto" w:fill="FFFFFF"/>
                              <w:hideMark/>
                            </w:tcPr>
                            <w:p w14:paraId="740F62C1" w14:textId="77777777" w:rsidR="00556141" w:rsidRDefault="00556141"/>
                          </w:tc>
                          <w:tc>
                            <w:tcPr>
                              <w:tcW w:w="0" w:type="auto"/>
                              <w:shd w:val="clear" w:color="auto" w:fill="FFFFFF"/>
                              <w:hideMark/>
                            </w:tcPr>
                            <w:p w14:paraId="0D4C6B1F" w14:textId="77777777" w:rsidR="00556141" w:rsidRDefault="00556141">
                              <w:pPr>
                                <w:rPr>
                                  <w:sz w:val="24"/>
                                  <w:szCs w:val="24"/>
                                </w:rPr>
                              </w:pPr>
                              <w:r>
                                <w:t> </w:t>
                              </w:r>
                            </w:p>
                          </w:tc>
                          <w:tc>
                            <w:tcPr>
                              <w:tcW w:w="0" w:type="auto"/>
                              <w:shd w:val="clear" w:color="auto" w:fill="FFFFFF"/>
                              <w:hideMark/>
                            </w:tcPr>
                            <w:p w14:paraId="47B6320B" w14:textId="77777777" w:rsidR="00556141" w:rsidRDefault="00556141">
                              <w:r>
                                <w:t> </w:t>
                              </w:r>
                            </w:p>
                          </w:tc>
                        </w:tr>
                        <w:tr w:rsidR="00556141" w14:paraId="73167E16" w14:textId="77777777">
                          <w:trPr>
                            <w:tblCellSpacing w:w="7" w:type="dxa"/>
                          </w:trPr>
                          <w:tc>
                            <w:tcPr>
                              <w:tcW w:w="0" w:type="auto"/>
                              <w:shd w:val="clear" w:color="auto" w:fill="FFFFFF"/>
                              <w:hideMark/>
                            </w:tcPr>
                            <w:p w14:paraId="35286994" w14:textId="77777777" w:rsidR="00556141" w:rsidRDefault="00556141">
                              <w:r>
                                <w:t>8 Males, 20–30 yrs; weight, 50–86 kg</w:t>
                              </w:r>
                            </w:p>
                          </w:tc>
                          <w:tc>
                            <w:tcPr>
                              <w:tcW w:w="0" w:type="auto"/>
                              <w:shd w:val="clear" w:color="auto" w:fill="FFFFFF"/>
                              <w:hideMark/>
                            </w:tcPr>
                            <w:p w14:paraId="6A672AE1" w14:textId="77777777" w:rsidR="00556141" w:rsidRDefault="00556141">
                              <w:r>
                                <w:t>0, 3, 7, 15, 30, 45 min</w:t>
                              </w:r>
                            </w:p>
                          </w:tc>
                          <w:tc>
                            <w:tcPr>
                              <w:tcW w:w="0" w:type="auto"/>
                              <w:shd w:val="clear" w:color="auto" w:fill="FFFFFF"/>
                              <w:hideMark/>
                            </w:tcPr>
                            <w:p w14:paraId="12E4EAF5" w14:textId="77777777" w:rsidR="00556141" w:rsidRDefault="00556141">
                              <w:r>
                                <w:t>Two-compartment model</w:t>
                              </w:r>
                            </w:p>
                          </w:tc>
                        </w:tr>
                        <w:tr w:rsidR="00556141" w14:paraId="741479B8" w14:textId="77777777">
                          <w:trPr>
                            <w:tblCellSpacing w:w="7" w:type="dxa"/>
                          </w:trPr>
                          <w:tc>
                            <w:tcPr>
                              <w:tcW w:w="0" w:type="auto"/>
                              <w:shd w:val="clear" w:color="auto" w:fill="FFFFFF"/>
                              <w:hideMark/>
                            </w:tcPr>
                            <w:p w14:paraId="40EFFDF7" w14:textId="77777777" w:rsidR="00556141" w:rsidRDefault="00556141"/>
                          </w:tc>
                          <w:tc>
                            <w:tcPr>
                              <w:tcW w:w="0" w:type="auto"/>
                              <w:shd w:val="clear" w:color="auto" w:fill="FFFFFF"/>
                              <w:hideMark/>
                            </w:tcPr>
                            <w:p w14:paraId="51EEBCD4" w14:textId="77777777" w:rsidR="00556141" w:rsidRDefault="00556141">
                              <w:pPr>
                                <w:rPr>
                                  <w:sz w:val="24"/>
                                  <w:szCs w:val="24"/>
                                </w:rPr>
                              </w:pPr>
                              <w:r>
                                <w:t>1, 1.5, 2, 3, 4, 6, 8, 10, 12 hr</w:t>
                              </w:r>
                            </w:p>
                          </w:tc>
                          <w:tc>
                            <w:tcPr>
                              <w:tcW w:w="0" w:type="auto"/>
                              <w:shd w:val="clear" w:color="auto" w:fill="FFFFFF"/>
                              <w:hideMark/>
                            </w:tcPr>
                            <w:p w14:paraId="4ECEF186" w14:textId="77777777" w:rsidR="00556141" w:rsidRDefault="00556141">
                              <w:r>
                                <w:t xml:space="preserve">Terminal </w:t>
                              </w:r>
                              <w:r>
                                <w:rPr>
                                  <w:i/>
                                  <w:iCs/>
                                </w:rPr>
                                <w:t>t</w:t>
                              </w:r>
                              <w:r>
                                <w:t xml:space="preserve"> </w:t>
                              </w:r>
                              <w:r>
                                <w:rPr>
                                  <w:vertAlign w:val="subscript"/>
                                </w:rPr>
                                <w:t>1/2</w:t>
                              </w:r>
                              <w:r>
                                <w:t xml:space="preserve"> = 2.36 ( ± 0.58) hr</w:t>
                              </w:r>
                              <w:r>
                                <w:br/>
                                <w:t> </w:t>
                              </w:r>
                            </w:p>
                          </w:tc>
                        </w:tr>
                        <w:tr w:rsidR="00556141" w14:paraId="0B584C35" w14:textId="77777777">
                          <w:trPr>
                            <w:tblCellSpacing w:w="7" w:type="dxa"/>
                          </w:trPr>
                          <w:tc>
                            <w:tcPr>
                              <w:tcW w:w="0" w:type="auto"/>
                              <w:shd w:val="clear" w:color="auto" w:fill="FFFFFF"/>
                              <w:hideMark/>
                            </w:tcPr>
                            <w:p w14:paraId="508E7217" w14:textId="77777777" w:rsidR="00556141" w:rsidRDefault="00556141">
                              <w:r>
                                <w:t>Dose, 2-mg IV bolus</w:t>
                              </w:r>
                            </w:p>
                          </w:tc>
                          <w:tc>
                            <w:tcPr>
                              <w:tcW w:w="0" w:type="auto"/>
                              <w:shd w:val="clear" w:color="auto" w:fill="FFFFFF"/>
                              <w:hideMark/>
                            </w:tcPr>
                            <w:p w14:paraId="03BBCC14" w14:textId="77777777" w:rsidR="00556141" w:rsidRDefault="00556141">
                              <w:r>
                                <w:t> </w:t>
                              </w:r>
                            </w:p>
                          </w:tc>
                          <w:tc>
                            <w:tcPr>
                              <w:tcW w:w="0" w:type="auto"/>
                              <w:shd w:val="clear" w:color="auto" w:fill="FFFFFF"/>
                              <w:hideMark/>
                            </w:tcPr>
                            <w:p w14:paraId="5690C812" w14:textId="77777777" w:rsidR="00556141" w:rsidRDefault="00556141">
                              <w:r>
                                <w:t> </w:t>
                              </w:r>
                            </w:p>
                          </w:tc>
                        </w:tr>
                        <w:tr w:rsidR="00556141" w14:paraId="70D5A03A" w14:textId="77777777">
                          <w:trPr>
                            <w:tblCellSpacing w:w="7" w:type="dxa"/>
                          </w:trPr>
                          <w:tc>
                            <w:tcPr>
                              <w:tcW w:w="0" w:type="auto"/>
                              <w:shd w:val="clear" w:color="auto" w:fill="FFFFFF"/>
                              <w:hideMark/>
                            </w:tcPr>
                            <w:p w14:paraId="557055C9" w14:textId="77777777" w:rsidR="00556141" w:rsidRDefault="00556141"/>
                          </w:tc>
                          <w:tc>
                            <w:tcPr>
                              <w:tcW w:w="0" w:type="auto"/>
                              <w:shd w:val="clear" w:color="auto" w:fill="FFFFFF"/>
                              <w:hideMark/>
                            </w:tcPr>
                            <w:p w14:paraId="5197D344" w14:textId="77777777" w:rsidR="00556141" w:rsidRDefault="00556141">
                              <w:pPr>
                                <w:rPr>
                                  <w:sz w:val="24"/>
                                  <w:szCs w:val="24"/>
                                </w:rPr>
                              </w:pPr>
                              <w:r>
                                <w:t> </w:t>
                              </w:r>
                            </w:p>
                          </w:tc>
                          <w:tc>
                            <w:tcPr>
                              <w:tcW w:w="0" w:type="auto"/>
                              <w:shd w:val="clear" w:color="auto" w:fill="FFFFFF"/>
                              <w:hideMark/>
                            </w:tcPr>
                            <w:p w14:paraId="4890A9F9" w14:textId="77777777" w:rsidR="00556141" w:rsidRDefault="00556141">
                              <w:r>
                                <w:t> </w:t>
                              </w:r>
                            </w:p>
                          </w:tc>
                        </w:tr>
                        <w:tr w:rsidR="00556141" w14:paraId="34D40124" w14:textId="77777777">
                          <w:trPr>
                            <w:tblCellSpacing w:w="7" w:type="dxa"/>
                          </w:trPr>
                          <w:tc>
                            <w:tcPr>
                              <w:tcW w:w="0" w:type="auto"/>
                              <w:shd w:val="clear" w:color="auto" w:fill="FFFFFF"/>
                              <w:hideMark/>
                            </w:tcPr>
                            <w:p w14:paraId="4E70CB0E" w14:textId="77777777" w:rsidR="00556141" w:rsidRDefault="00556141">
                              <w:r>
                                <w:t>10 Males, 21–38 yrs; mean weight, 72.7 kg</w:t>
                              </w:r>
                            </w:p>
                          </w:tc>
                          <w:tc>
                            <w:tcPr>
                              <w:tcW w:w="0" w:type="auto"/>
                              <w:shd w:val="clear" w:color="auto" w:fill="FFFFFF"/>
                              <w:hideMark/>
                            </w:tcPr>
                            <w:p w14:paraId="582AA6D6" w14:textId="77777777" w:rsidR="00556141" w:rsidRDefault="00556141">
                              <w:r>
                                <w:t>1, 2, 3, 4, 5, 7, 10, 15, 20, 30, 45 min</w:t>
                              </w:r>
                            </w:p>
                          </w:tc>
                          <w:tc>
                            <w:tcPr>
                              <w:tcW w:w="0" w:type="auto"/>
                              <w:shd w:val="clear" w:color="auto" w:fill="FFFFFF"/>
                              <w:hideMark/>
                            </w:tcPr>
                            <w:p w14:paraId="774F35E8" w14:textId="77777777" w:rsidR="00556141" w:rsidRDefault="00556141">
                              <w:r>
                                <w:t>Three-compartment model</w:t>
                              </w:r>
                            </w:p>
                          </w:tc>
                        </w:tr>
                        <w:tr w:rsidR="00556141" w14:paraId="1FFD31BC" w14:textId="77777777">
                          <w:trPr>
                            <w:tblCellSpacing w:w="7" w:type="dxa"/>
                          </w:trPr>
                          <w:tc>
                            <w:tcPr>
                              <w:tcW w:w="0" w:type="auto"/>
                              <w:shd w:val="clear" w:color="auto" w:fill="FFFFFF"/>
                              <w:hideMark/>
                            </w:tcPr>
                            <w:p w14:paraId="443C7F4B" w14:textId="4898ECA3" w:rsidR="00556141" w:rsidRDefault="00556141">
                              <w:r>
                                <w:t xml:space="preserve">Dose, 10, 20, and 40 </w:t>
                              </w:r>
                              <w:r>
                                <w:rPr>
                                  <w:noProof/>
                                </w:rPr>
                                <mc:AlternateContent>
                                  <mc:Choice Requires="wps">
                                    <w:drawing>
                                      <wp:inline distT="0" distB="0" distL="0" distR="0" wp14:anchorId="11511991" wp14:editId="5558BEB4">
                                        <wp:extent cx="304800" cy="304800"/>
                                        <wp:effectExtent l="0" t="0" r="0" b="0"/>
                                        <wp:docPr id="1606429482"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77534"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g/kg, IV bolus</w:t>
                              </w:r>
                            </w:p>
                          </w:tc>
                          <w:tc>
                            <w:tcPr>
                              <w:tcW w:w="0" w:type="auto"/>
                              <w:shd w:val="clear" w:color="auto" w:fill="FFFFFF"/>
                              <w:hideMark/>
                            </w:tcPr>
                            <w:p w14:paraId="5FEC4972" w14:textId="77777777" w:rsidR="00556141" w:rsidRDefault="00556141">
                              <w:r>
                                <w:t>1, 1.5, 2, 2.5, 3, 4, 5 hr</w:t>
                              </w:r>
                            </w:p>
                          </w:tc>
                          <w:tc>
                            <w:tcPr>
                              <w:tcW w:w="0" w:type="auto"/>
                              <w:shd w:val="clear" w:color="auto" w:fill="FFFFFF"/>
                              <w:hideMark/>
                            </w:tcPr>
                            <w:p w14:paraId="06CA7528" w14:textId="77777777" w:rsidR="00556141" w:rsidRDefault="00556141">
                              <w:r>
                                <w:t xml:space="preserve">Terminal </w:t>
                              </w:r>
                              <w:r>
                                <w:rPr>
                                  <w:i/>
                                  <w:iCs/>
                                </w:rPr>
                                <w:t>t</w:t>
                              </w:r>
                              <w:r>
                                <w:t xml:space="preserve"> </w:t>
                              </w:r>
                              <w:r>
                                <w:rPr>
                                  <w:vertAlign w:val="subscript"/>
                                </w:rPr>
                                <w:t>1/2</w:t>
                              </w:r>
                              <w:r>
                                <w:t xml:space="preserve"> = 3.07 ( ± 0.25) hr</w:t>
                              </w:r>
                              <w:r>
                                <w:br/>
                                <w:t> </w:t>
                              </w:r>
                            </w:p>
                          </w:tc>
                        </w:tr>
                        <w:tr w:rsidR="00556141" w14:paraId="3E22740F" w14:textId="77777777">
                          <w:trPr>
                            <w:tblCellSpacing w:w="7" w:type="dxa"/>
                          </w:trPr>
                          <w:tc>
                            <w:tcPr>
                              <w:tcW w:w="0" w:type="auto"/>
                              <w:shd w:val="clear" w:color="auto" w:fill="FFFFFF"/>
                              <w:hideMark/>
                            </w:tcPr>
                            <w:p w14:paraId="4F69C799" w14:textId="77777777" w:rsidR="00556141" w:rsidRDefault="00556141"/>
                          </w:tc>
                          <w:tc>
                            <w:tcPr>
                              <w:tcW w:w="0" w:type="auto"/>
                              <w:shd w:val="clear" w:color="auto" w:fill="FFFFFF"/>
                              <w:hideMark/>
                            </w:tcPr>
                            <w:p w14:paraId="281B0B4E" w14:textId="77777777" w:rsidR="00556141" w:rsidRDefault="00556141">
                              <w:pPr>
                                <w:rPr>
                                  <w:sz w:val="24"/>
                                  <w:szCs w:val="24"/>
                                </w:rPr>
                              </w:pPr>
                              <w:r>
                                <w:t> </w:t>
                              </w:r>
                            </w:p>
                          </w:tc>
                          <w:tc>
                            <w:tcPr>
                              <w:tcW w:w="0" w:type="auto"/>
                              <w:shd w:val="clear" w:color="auto" w:fill="FFFFFF"/>
                              <w:hideMark/>
                            </w:tcPr>
                            <w:p w14:paraId="308D7732" w14:textId="77777777" w:rsidR="00556141" w:rsidRDefault="00556141">
                              <w:r>
                                <w:t> </w:t>
                              </w:r>
                            </w:p>
                          </w:tc>
                        </w:tr>
                      </w:tbl>
                      <w:p w14:paraId="4ACB3472" w14:textId="77777777" w:rsidR="00556141" w:rsidRDefault="00556141"/>
                    </w:tc>
                  </w:tr>
                  <w:tr w:rsidR="00556141" w14:paraId="0AD84633" w14:textId="77777777">
                    <w:trPr>
                      <w:tblCellSpacing w:w="0" w:type="dxa"/>
                    </w:trPr>
                    <w:tc>
                      <w:tcPr>
                        <w:tcW w:w="0" w:type="auto"/>
                        <w:shd w:val="clear" w:color="auto" w:fill="FFFFFF"/>
                        <w:vAlign w:val="center"/>
                        <w:hideMark/>
                      </w:tcPr>
                      <w:p w14:paraId="73687EE0" w14:textId="77777777" w:rsidR="00556141" w:rsidRDefault="00556141">
                        <w:pPr>
                          <w:rPr>
                            <w:sz w:val="24"/>
                            <w:szCs w:val="24"/>
                          </w:rPr>
                        </w:pPr>
                      </w:p>
                    </w:tc>
                  </w:tr>
                </w:tbl>
                <w:p w14:paraId="2609B885" w14:textId="77777777" w:rsidR="00556141" w:rsidRDefault="00556141">
                  <w:pPr>
                    <w:pStyle w:val="contentbody"/>
                  </w:pPr>
                  <w:bookmarkStart w:id="207" w:name="2486202"/>
                  <w:bookmarkEnd w:id="207"/>
                  <w:r>
                    <w:rPr>
                      <w:b/>
                      <w:bCs/>
                    </w:rPr>
                    <w:t>Comments</w:t>
                  </w:r>
                  <w:r>
                    <w:t xml:space="preserve"> </w:t>
                  </w:r>
                </w:p>
                <w:p w14:paraId="5DF87D50" w14:textId="0D2DA19A" w:rsidR="00556141" w:rsidRDefault="00556141">
                  <w:pPr>
                    <w:pStyle w:val="contentbody"/>
                  </w:pPr>
                  <w:bookmarkStart w:id="208" w:name="2486203"/>
                  <w:bookmarkEnd w:id="208"/>
                  <w:r>
                    <w:t>The adequacy of the pharmacokinetic model will depend on the sampling intervals and the drug assay. The first two studies showed a similar elimination half-life. However, both and did not observe a three-compartment pharmacokinetic model due to lack of appropriate description of the early distribution phases for hydromorphone. After an IV bolus injection, hydromorphone is very rapidly distributed into the tissues. obtained a triexponential function by closely sampling early time periods after the dose. Average distribution half-lives were 1.27 and 14.7 min, and the average terminal elimination was 184 min (</w:t>
                  </w:r>
                  <w:r>
                    <w:rPr>
                      <w:i/>
                      <w:iCs/>
                    </w:rPr>
                    <w:t>t</w:t>
                  </w:r>
                  <w:r>
                    <w:t xml:space="preserve"> </w:t>
                  </w:r>
                  <w:r>
                    <w:rPr>
                      <w:vertAlign w:val="subscript"/>
                    </w:rPr>
                    <w:t>1/2</w:t>
                  </w:r>
                  <w:r>
                    <w:t xml:space="preserve"> </w:t>
                  </w:r>
                  <w:r>
                    <w:rPr>
                      <w:noProof/>
                      <w:vertAlign w:val="subscript"/>
                    </w:rPr>
                    <mc:AlternateContent>
                      <mc:Choice Requires="wps">
                        <w:drawing>
                          <wp:inline distT="0" distB="0" distL="0" distR="0" wp14:anchorId="6F4E9342" wp14:editId="1A9CD1E9">
                            <wp:extent cx="304800" cy="304800"/>
                            <wp:effectExtent l="0" t="0" r="0" b="0"/>
                            <wp:docPr id="104636869"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4D430" id="Rectangle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The average values for systemic clearance (</w:t>
                  </w:r>
                  <w:r>
                    <w:rPr>
                      <w:i/>
                      <w:iCs/>
                    </w:rPr>
                    <w:t>Cl</w:t>
                  </w:r>
                  <w:r>
                    <w:t>) was 1.66 L/min; the initial dilution volume was 24.4 L. If distribution is rapid, the drug becomes distributed during absorption. Thus, hydromorphone pharmacokinetics follow a one-compartment model after a single oral dose.</w:t>
                  </w:r>
                </w:p>
                <w:p w14:paraId="20EC4C58" w14:textId="77777777" w:rsidR="00556141" w:rsidRDefault="00556141">
                  <w:pPr>
                    <w:pStyle w:val="contentbody"/>
                  </w:pPr>
                  <w:bookmarkStart w:id="209" w:name="2486204"/>
                  <w:bookmarkEnd w:id="209"/>
                  <w:r>
                    <w:t xml:space="preserve">Hydromorphone is administered to relieve acute pain in cancer or postoperative patients. Rapid pain relief is obtained by IV injection. Although the drug is effective orally, about 50–60% of the drug is cleared by the liver through first-pass effects. The pharmacokinetics of hydromorphone after IV injection suggest a multicompartment model. The site of action is probably within the central nervous system, as part of the tissue compartment. The initial volume or initial dilution volume, </w:t>
                  </w:r>
                  <w:r>
                    <w:rPr>
                      <w:i/>
                      <w:iCs/>
                    </w:rPr>
                    <w:t>V</w:t>
                  </w:r>
                  <w:r>
                    <w:t xml:space="preserve"> </w:t>
                  </w:r>
                  <w:r>
                    <w:rPr>
                      <w:vertAlign w:val="subscript"/>
                    </w:rPr>
                    <w:t>p</w:t>
                  </w:r>
                  <w:r>
                    <w:t>, is the volume into which IV injections are injected and diluted. Hydromorphone follows linear kinetics, ie, drug concentration is proportional to dose. Hydromorphone systemic clearance is much larger than the glomerular filtration rate (GFR) of 120 mL/min (see ), hence the drug is probably metabolized significantly by the hepatic route. A clearance of 1.66 L/min is faster than the blood flow of 1.2–1.5 L/min to the liver. The drug must be rapidly extracted or, in addition, must have extrahepatic elimination. When the distribution phase is short, the distribution phase may be disregarded, provided that the targeted plasma concentration is sufficiently low and the terminal elimination phase is relatively long. If the drug has a sufficiently high target plasma drug concentration and the elimination half-life is short, the distributive phase must not be ignored. For example, lidocaine target effective concentration often lies close to the distributive phase, since its beta elimination half-life is very short; and ignoring the alpha phase will result in a large error in dosing projection.</w:t>
                  </w:r>
                </w:p>
              </w:tc>
            </w:tr>
          </w:tbl>
          <w:p w14:paraId="4C81EE18" w14:textId="77777777" w:rsidR="00556141" w:rsidRDefault="00556141">
            <w:pPr>
              <w:rPr>
                <w:vanish/>
              </w:rPr>
            </w:pPr>
            <w:bookmarkStart w:id="210" w:name="2486205"/>
            <w:bookmarkEnd w:id="210"/>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29E1462E" w14:textId="77777777">
              <w:trPr>
                <w:tblCellSpacing w:w="0" w:type="dxa"/>
              </w:trPr>
              <w:tc>
                <w:tcPr>
                  <w:tcW w:w="0" w:type="auto"/>
                  <w:shd w:val="clear" w:color="auto" w:fill="FFFFFF"/>
                  <w:hideMark/>
                </w:tcPr>
                <w:p w14:paraId="2F97F4C6" w14:textId="77777777" w:rsidR="00556141" w:rsidRDefault="00556141">
                  <w:pPr>
                    <w:pStyle w:val="contenthead1"/>
                  </w:pPr>
                  <w:r>
                    <w:t>Determination of Compartment Models</w:t>
                  </w:r>
                </w:p>
                <w:p w14:paraId="7396128A" w14:textId="77777777" w:rsidR="00556141" w:rsidRDefault="00556141">
                  <w:pPr>
                    <w:pStyle w:val="contentbody"/>
                  </w:pPr>
                  <w:bookmarkStart w:id="211" w:name="2486206"/>
                  <w:bookmarkEnd w:id="211"/>
                  <w:r>
                    <w:t>Models based on compartmental analysis should always use the fewest number of compartments necessary to describe the experimental data adequately. Once an empirical equation is derived from the experimental observations, it becomes necessary to examine how well the theoretical values that are calculated from the derived equation fit the experimental data.</w:t>
                  </w:r>
                </w:p>
                <w:p w14:paraId="5F522454" w14:textId="77777777" w:rsidR="00556141" w:rsidRDefault="00556141">
                  <w:pPr>
                    <w:pStyle w:val="contentbody"/>
                  </w:pPr>
                  <w:bookmarkStart w:id="212" w:name="2486207"/>
                  <w:bookmarkEnd w:id="212"/>
                  <w:r>
                    <w:t xml:space="preserve">The observed number of compartments or exponential phases will depend on (1) the route of drug </w:t>
                  </w:r>
                  <w:r>
                    <w:lastRenderedPageBreak/>
                    <w:t>administration, (2) the rate of drug absorption, (3) the total time for blood sampling, (4) the number of samples taken within the collection period, and (5) the assay sensitivity. If drug distribution is rapid, then, after oral administration, the drug will become distributed during absorption, and the distribution phase will not be observed. For example, theophylline follows the kinetics of a one-compartment model after oral absorption, but after intravenous bolus (given as aminophylline), theophylline follows the kinetics of a two-compartment model. Furthermore, if theophylline is given by a slow intravenous infusion rather than by intravenous bolus, the distribution phase will not be observed. Hydromorphone (Dilaudid), which follows a three-compartment model, also follows a one-compartment model after oral administration, since the first two distribution phases are rapid.</w:t>
                  </w:r>
                </w:p>
                <w:p w14:paraId="6D488F71" w14:textId="77777777" w:rsidR="00556141" w:rsidRDefault="00556141">
                  <w:pPr>
                    <w:pStyle w:val="contentbody"/>
                  </w:pPr>
                  <w:bookmarkStart w:id="213" w:name="2486208"/>
                  <w:bookmarkEnd w:id="213"/>
                  <w:r>
                    <w:t xml:space="preserve">Depending on the sampling intervals, a compartment may be missed because samples may be taken too late after administration of the dose to observe a possible distributive phase. For example, the data plotted in could easily be mistaken for those of a one-compartment model, because the distributive phase has been missed and extrapolation of the data to </w:t>
                  </w:r>
                  <w:r>
                    <w:rPr>
                      <w:i/>
                      <w:iCs/>
                    </w:rPr>
                    <w:t>C</w:t>
                  </w:r>
                  <w:r>
                    <w:t xml:space="preserve"> </w:t>
                  </w:r>
                  <w:r>
                    <w:rPr>
                      <w:vertAlign w:val="subscript"/>
                    </w:rPr>
                    <w:t>p</w:t>
                  </w:r>
                  <w:r>
                    <w:t xml:space="preserve"> </w:t>
                  </w:r>
                  <w:r>
                    <w:rPr>
                      <w:vertAlign w:val="superscript"/>
                    </w:rPr>
                    <w:t>0</w:t>
                  </w:r>
                  <w:r>
                    <w:t xml:space="preserve"> will give a lower value than was actually the case. Slower drug elimination compartments may also be missed if sampling is not performed at later sampling times, when the dose or the assay for the drug cannot measure very low plasma drug concentrations.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3D485F8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63240720" w14:textId="77777777">
                          <w:trPr>
                            <w:tblCellSpacing w:w="7" w:type="dxa"/>
                          </w:trPr>
                          <w:tc>
                            <w:tcPr>
                              <w:tcW w:w="0" w:type="auto"/>
                              <w:shd w:val="clear" w:color="auto" w:fill="CCCCCC"/>
                              <w:vAlign w:val="center"/>
                              <w:hideMark/>
                            </w:tcPr>
                            <w:p w14:paraId="13B3D598" w14:textId="77777777" w:rsidR="00556141" w:rsidRDefault="00556141">
                              <w:pPr>
                                <w:pStyle w:val="tabletitle"/>
                              </w:pPr>
                              <w:bookmarkStart w:id="214" w:name="2486287"/>
                              <w:bookmarkEnd w:id="214"/>
                              <w:r>
                                <w:t>Figure 4-9.</w:t>
                              </w:r>
                            </w:p>
                            <w:p w14:paraId="7515DF4A" w14:textId="77777777" w:rsidR="00556141" w:rsidRDefault="00556141"/>
                          </w:tc>
                        </w:tr>
                      </w:tbl>
                      <w:p w14:paraId="78325088" w14:textId="77777777" w:rsidR="00556141" w:rsidRDefault="00556141"/>
                    </w:tc>
                  </w:tr>
                  <w:tr w:rsidR="00556141" w14:paraId="7ACAEAF5"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6EB5FC72" w14:textId="77777777">
                          <w:trPr>
                            <w:tblCellSpacing w:w="7" w:type="dxa"/>
                          </w:trPr>
                          <w:tc>
                            <w:tcPr>
                              <w:tcW w:w="0" w:type="auto"/>
                              <w:shd w:val="clear" w:color="auto" w:fill="FFFFFF"/>
                              <w:vAlign w:val="center"/>
                              <w:hideMark/>
                            </w:tcPr>
                            <w:p w14:paraId="1C867EAA" w14:textId="3D0AE403" w:rsidR="00556141" w:rsidRDefault="00556141">
                              <w:pPr>
                                <w:jc w:val="center"/>
                                <w:rPr>
                                  <w:sz w:val="24"/>
                                  <w:szCs w:val="24"/>
                                </w:rPr>
                              </w:pPr>
                              <w:r>
                                <w:rPr>
                                  <w:noProof/>
                                </w:rPr>
                                <mc:AlternateContent>
                                  <mc:Choice Requires="wps">
                                    <w:drawing>
                                      <wp:inline distT="0" distB="0" distL="0" distR="0" wp14:anchorId="34744509" wp14:editId="69DC21D5">
                                        <wp:extent cx="304800" cy="304800"/>
                                        <wp:effectExtent l="0" t="0" r="0" b="0"/>
                                        <wp:docPr id="281853610"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44348"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38DCB39C" w14:textId="77777777">
                          <w:trPr>
                            <w:tblCellSpacing w:w="7" w:type="dxa"/>
                          </w:trPr>
                          <w:tc>
                            <w:tcPr>
                              <w:tcW w:w="0" w:type="auto"/>
                              <w:shd w:val="clear" w:color="auto" w:fill="FFFFFF"/>
                              <w:vAlign w:val="center"/>
                              <w:hideMark/>
                            </w:tcPr>
                            <w:p w14:paraId="56A2A690" w14:textId="77777777" w:rsidR="00556141" w:rsidRDefault="00556141">
                              <w:pPr>
                                <w:pStyle w:val="font11"/>
                              </w:pPr>
                              <w:bookmarkStart w:id="215" w:name="2486288"/>
                              <w:bookmarkEnd w:id="215"/>
                              <w:r>
                                <w:t xml:space="preserve">The samples from which data were obtained for this graph were taken too late to show the distributive phase; therefore, the value of </w:t>
                              </w:r>
                              <w:r>
                                <w:rPr>
                                  <w:i/>
                                  <w:iCs/>
                                </w:rPr>
                                <w:t>C</w:t>
                              </w:r>
                              <w:r>
                                <w:t xml:space="preserve"> </w:t>
                              </w:r>
                              <w:r>
                                <w:rPr>
                                  <w:vertAlign w:val="superscript"/>
                                </w:rPr>
                                <w:t>0</w:t>
                              </w:r>
                              <w:r>
                                <w:t xml:space="preserve"> </w:t>
                              </w:r>
                              <w:r>
                                <w:rPr>
                                  <w:vertAlign w:val="subscript"/>
                                </w:rPr>
                                <w:t>p</w:t>
                              </w:r>
                              <w:r>
                                <w:t xml:space="preserve"> obtained by extrapolation (straight broken line) is deceptively low.</w:t>
                              </w:r>
                            </w:p>
                          </w:tc>
                        </w:tr>
                      </w:tbl>
                      <w:p w14:paraId="05E34496" w14:textId="77777777" w:rsidR="00556141" w:rsidRDefault="00556141"/>
                    </w:tc>
                  </w:tr>
                </w:tbl>
                <w:p w14:paraId="55A4A93F" w14:textId="77777777" w:rsidR="00556141" w:rsidRDefault="00556141">
                  <w:pPr>
                    <w:pStyle w:val="contentbody"/>
                  </w:pPr>
                  <w:bookmarkStart w:id="216" w:name="2486209"/>
                  <w:bookmarkEnd w:id="216"/>
                  <w:r>
                    <w:t>The total time for collection of blood samples is usually estimated from the terminal elimination half-life of the drug. However, lower drug concentrations may not be measured if the sensitivity of the assay is not adequate. As the assay for the drug becomes more sensitive in its ability to measure lower drug concentrations, then another compartment with a smaller first-order rate constant may be observed.</w:t>
                  </w:r>
                </w:p>
                <w:p w14:paraId="28FDB3A0" w14:textId="77777777" w:rsidR="00556141" w:rsidRDefault="00556141">
                  <w:pPr>
                    <w:pStyle w:val="contentbody"/>
                  </w:pPr>
                  <w:bookmarkStart w:id="217" w:name="2486210"/>
                  <w:bookmarkEnd w:id="217"/>
                  <w:r>
                    <w:t>In describing compartments, each new compartment requires an additional first-order plot. Compartment models having more than three compartments are rarely of pharmacologic significance. In certain cases, it is possible to "lump" a few compartments together to get a smaller number of compartments, which, together, will describe the data adequately.</w:t>
                  </w:r>
                </w:p>
                <w:p w14:paraId="27E0BD85" w14:textId="77777777" w:rsidR="00556141" w:rsidRDefault="00556141">
                  <w:pPr>
                    <w:pStyle w:val="contentbody"/>
                  </w:pPr>
                  <w:bookmarkStart w:id="218" w:name="2486211"/>
                  <w:bookmarkEnd w:id="218"/>
                  <w:r>
                    <w:t>An adequate description of several tissue compartments can be difficult. When the addition of a compartment to the model seems necessary, it is important to realize that the drug may be retained or slowly concentrated in a deep tissue compartment.</w:t>
                  </w:r>
                </w:p>
                <w:p w14:paraId="73D35A39" w14:textId="77777777" w:rsidR="00556141" w:rsidRDefault="00556141">
                  <w:pPr>
                    <w:pStyle w:val="contenthead2"/>
                  </w:pPr>
                  <w:bookmarkStart w:id="219" w:name="2486212"/>
                  <w:bookmarkEnd w:id="219"/>
                  <w:r>
                    <w:t>Practical Focus</w:t>
                  </w:r>
                </w:p>
                <w:p w14:paraId="0E3944C8" w14:textId="77777777" w:rsidR="00556141" w:rsidRDefault="00556141">
                  <w:pPr>
                    <w:pStyle w:val="contentbody"/>
                  </w:pPr>
                  <w:bookmarkStart w:id="220" w:name="2486213"/>
                  <w:bookmarkEnd w:id="220"/>
                  <w:r>
                    <w:rPr>
                      <w:b/>
                      <w:bCs/>
                    </w:rPr>
                    <w:t>Two-Compartment Model: Relation between Distribution and Apparent (Beta) Half-Life</w:t>
                  </w:r>
                  <w:r>
                    <w:t xml:space="preserve"> </w:t>
                  </w:r>
                </w:p>
                <w:p w14:paraId="46105ABD" w14:textId="77777777" w:rsidR="00556141" w:rsidRDefault="00556141">
                  <w:pPr>
                    <w:pStyle w:val="contentbody"/>
                  </w:pPr>
                  <w:bookmarkStart w:id="221" w:name="2486214"/>
                  <w:bookmarkEnd w:id="221"/>
                  <w:r>
                    <w:t xml:space="preserve">The distribution half-life of a drug is dependent on the type of tissues the drug penetrates as well as by blood supply to those tissues. In addition, the capacity of the tissue to store drug is also a factor. Distribution half-life is generally short for many drugs because of the rapid blood supply and drug equilibration in the tissue compartment. However, there is some supporting evidence that a drug with a long elimination half-life is often associated with a longer distribution phase. It is conceivable that a tissue with little blood supply may not attain a sufficiently high drug concentration to exert its impact and influence the overall plasma drug concentration profile in the presence of rapid elimination. In contrast, drugs such as digoxin have a long elimination half-life, and drug concentration declines slowly to allow more time for distribution to tissues. Human follicle-stimulating hormone (hFSH) injected intravenously has a very long elimination half-life, and its distribution half-life is also quite long. Drugs such as lidocaine, theophylline, and milrinone have short elimination half-lives and generally relatively short </w:t>
                  </w:r>
                  <w:r>
                    <w:lastRenderedPageBreak/>
                    <w:t>distributional half-lives.</w:t>
                  </w:r>
                </w:p>
                <w:p w14:paraId="7C75D355" w14:textId="77777777" w:rsidR="00556141" w:rsidRDefault="00556141">
                  <w:pPr>
                    <w:pStyle w:val="contentbody"/>
                  </w:pPr>
                  <w:bookmarkStart w:id="222" w:name="2486215"/>
                  <w:bookmarkEnd w:id="222"/>
                  <w:r>
                    <w:t xml:space="preserve">In order to examine the effect of changing </w:t>
                  </w:r>
                  <w:r>
                    <w:rPr>
                      <w:i/>
                      <w:iCs/>
                    </w:rPr>
                    <w:t>k</w:t>
                  </w:r>
                  <w:r>
                    <w:t xml:space="preserve"> (from 0.6 to 0.2 hr</w:t>
                  </w:r>
                  <w:r>
                    <w:rPr>
                      <w:vertAlign w:val="superscript"/>
                    </w:rPr>
                    <w:t>–</w:t>
                  </w:r>
                  <w:r>
                    <w:t xml:space="preserve"> </w:t>
                  </w:r>
                  <w:r>
                    <w:rPr>
                      <w:vertAlign w:val="superscript"/>
                    </w:rPr>
                    <w:t>1</w:t>
                  </w:r>
                  <w:r>
                    <w:t xml:space="preserve">) on the distributional (alpha phase) and elimination (beta phase) half-lives of various drugs, four simulations based on a two-compartment model were generated (). The simulations show that a drug with a smaller </w:t>
                  </w:r>
                  <w:r>
                    <w:rPr>
                      <w:i/>
                      <w:iCs/>
                    </w:rPr>
                    <w:t>k</w:t>
                  </w:r>
                  <w:r>
                    <w:t xml:space="preserve"> has a longer beta elimination half-life. Keeping all other parameters (</w:t>
                  </w:r>
                  <w:r>
                    <w:rPr>
                      <w:i/>
                      <w:iCs/>
                    </w:rPr>
                    <w:t>k</w:t>
                  </w:r>
                  <w:r>
                    <w:t xml:space="preserve"> </w:t>
                  </w:r>
                  <w:r>
                    <w:rPr>
                      <w:vertAlign w:val="subscript"/>
                    </w:rPr>
                    <w:t>12</w:t>
                  </w:r>
                  <w:r>
                    <w:t xml:space="preserve">, </w:t>
                  </w:r>
                  <w:r>
                    <w:rPr>
                      <w:i/>
                      <w:iCs/>
                    </w:rPr>
                    <w:t>k</w:t>
                  </w:r>
                  <w:r>
                    <w:t xml:space="preserve"> </w:t>
                  </w:r>
                  <w:r>
                    <w:rPr>
                      <w:vertAlign w:val="subscript"/>
                    </w:rPr>
                    <w:t>21</w:t>
                  </w:r>
                  <w:r>
                    <w:t xml:space="preserve">, </w:t>
                  </w:r>
                  <w:r>
                    <w:rPr>
                      <w:i/>
                      <w:iCs/>
                    </w:rPr>
                    <w:t>V</w:t>
                  </w:r>
                  <w:r>
                    <w:t xml:space="preserve"> </w:t>
                  </w:r>
                  <w:r>
                    <w:rPr>
                      <w:vertAlign w:val="subscript"/>
                    </w:rPr>
                    <w:t>p</w:t>
                  </w:r>
                  <w:r>
                    <w:t xml:space="preserve">) constant, a smaller </w:t>
                  </w:r>
                  <w:r>
                    <w:rPr>
                      <w:i/>
                      <w:iCs/>
                    </w:rPr>
                    <w:t>k</w:t>
                  </w:r>
                  <w:r>
                    <w:t xml:space="preserve"> will result in a smaller </w:t>
                  </w:r>
                  <w:r>
                    <w:rPr>
                      <w:i/>
                      <w:iCs/>
                    </w:rPr>
                    <w:t>a</w:t>
                  </w:r>
                  <w:r>
                    <w:t>, or a slower distributional phase. Examples of drugs with various distribution and elimination half-lives are shown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56141" w14:paraId="40A850A6"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56141" w14:paraId="5266C5C2" w14:textId="77777777">
                          <w:trPr>
                            <w:tblCellSpacing w:w="0" w:type="dxa"/>
                          </w:trPr>
                          <w:tc>
                            <w:tcPr>
                              <w:tcW w:w="0" w:type="auto"/>
                              <w:vAlign w:val="center"/>
                              <w:hideMark/>
                            </w:tcPr>
                            <w:p w14:paraId="4F395971" w14:textId="77777777" w:rsidR="00556141" w:rsidRDefault="00556141">
                              <w:pPr>
                                <w:pStyle w:val="tabletitle"/>
                              </w:pPr>
                              <w:bookmarkStart w:id="223" w:name="2486268"/>
                              <w:bookmarkEnd w:id="223"/>
                              <w:r>
                                <w:t>Table 4.8 Comparison of Beta Half-Life and Distributional Half-Life of Selected Drugs</w:t>
                              </w:r>
                            </w:p>
                            <w:p w14:paraId="66291DBD" w14:textId="77777777" w:rsidR="00556141" w:rsidRDefault="00556141"/>
                          </w:tc>
                        </w:tr>
                      </w:tbl>
                      <w:p w14:paraId="4BBD851C" w14:textId="77777777" w:rsidR="00556141" w:rsidRDefault="00556141"/>
                    </w:tc>
                  </w:tr>
                  <w:tr w:rsidR="00556141" w14:paraId="473A7713"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015"/>
                          <w:gridCol w:w="3107"/>
                          <w:gridCol w:w="4182"/>
                        </w:tblGrid>
                        <w:tr w:rsidR="00556141" w14:paraId="4B69A343" w14:textId="77777777">
                          <w:trPr>
                            <w:tblHeader/>
                            <w:tblCellSpacing w:w="7" w:type="dxa"/>
                          </w:trPr>
                          <w:tc>
                            <w:tcPr>
                              <w:tcW w:w="0" w:type="auto"/>
                              <w:shd w:val="clear" w:color="auto" w:fill="FFFFFF"/>
                              <w:hideMark/>
                            </w:tcPr>
                            <w:p w14:paraId="142AC31A" w14:textId="77777777" w:rsidR="00556141" w:rsidRDefault="00556141">
                              <w:pPr>
                                <w:rPr>
                                  <w:b/>
                                  <w:bCs/>
                                  <w:sz w:val="24"/>
                                  <w:szCs w:val="24"/>
                                </w:rPr>
                              </w:pPr>
                              <w:r>
                                <w:rPr>
                                  <w:b/>
                                  <w:bCs/>
                                </w:rPr>
                                <w:t>Drug</w:t>
                              </w:r>
                            </w:p>
                          </w:tc>
                          <w:tc>
                            <w:tcPr>
                              <w:tcW w:w="0" w:type="auto"/>
                              <w:shd w:val="clear" w:color="auto" w:fill="FFFFFF"/>
                              <w:hideMark/>
                            </w:tcPr>
                            <w:p w14:paraId="478B8B45" w14:textId="77777777" w:rsidR="00556141" w:rsidRDefault="00556141">
                              <w:pPr>
                                <w:rPr>
                                  <w:b/>
                                  <w:bCs/>
                                </w:rPr>
                              </w:pPr>
                              <w:r>
                                <w:rPr>
                                  <w:b/>
                                  <w:bCs/>
                                </w:rPr>
                                <w:t>Beta Half-Life</w:t>
                              </w:r>
                            </w:p>
                          </w:tc>
                          <w:tc>
                            <w:tcPr>
                              <w:tcW w:w="0" w:type="auto"/>
                              <w:shd w:val="clear" w:color="auto" w:fill="FFFFFF"/>
                              <w:hideMark/>
                            </w:tcPr>
                            <w:p w14:paraId="4F6AB334" w14:textId="77777777" w:rsidR="00556141" w:rsidRDefault="00556141">
                              <w:pPr>
                                <w:rPr>
                                  <w:b/>
                                  <w:bCs/>
                                </w:rPr>
                              </w:pPr>
                              <w:r>
                                <w:rPr>
                                  <w:b/>
                                  <w:bCs/>
                                </w:rPr>
                                <w:t>Distributional Half-Life</w:t>
                              </w:r>
                            </w:p>
                          </w:tc>
                        </w:tr>
                        <w:tr w:rsidR="00556141" w14:paraId="2592AEAC" w14:textId="77777777">
                          <w:trPr>
                            <w:tblCellSpacing w:w="7" w:type="dxa"/>
                          </w:trPr>
                          <w:tc>
                            <w:tcPr>
                              <w:tcW w:w="0" w:type="auto"/>
                              <w:shd w:val="clear" w:color="auto" w:fill="FFFFFF"/>
                              <w:hideMark/>
                            </w:tcPr>
                            <w:p w14:paraId="2EA92538" w14:textId="77777777" w:rsidR="00556141" w:rsidRDefault="00556141">
                              <w:r>
                                <w:t xml:space="preserve">Lidocaine </w:t>
                              </w:r>
                            </w:p>
                          </w:tc>
                          <w:tc>
                            <w:tcPr>
                              <w:tcW w:w="0" w:type="auto"/>
                              <w:shd w:val="clear" w:color="auto" w:fill="FFFFFF"/>
                              <w:hideMark/>
                            </w:tcPr>
                            <w:p w14:paraId="2A05B40E" w14:textId="77777777" w:rsidR="00556141" w:rsidRDefault="00556141">
                              <w:r>
                                <w:t>1.8 hr</w:t>
                              </w:r>
                            </w:p>
                          </w:tc>
                          <w:tc>
                            <w:tcPr>
                              <w:tcW w:w="0" w:type="auto"/>
                              <w:shd w:val="clear" w:color="auto" w:fill="FFFFFF"/>
                              <w:hideMark/>
                            </w:tcPr>
                            <w:p w14:paraId="37D94757" w14:textId="77777777" w:rsidR="00556141" w:rsidRDefault="00556141">
                              <w:r>
                                <w:t>8 min</w:t>
                              </w:r>
                            </w:p>
                          </w:tc>
                        </w:tr>
                        <w:tr w:rsidR="00556141" w14:paraId="1C671DE1" w14:textId="77777777">
                          <w:trPr>
                            <w:tblCellSpacing w:w="7" w:type="dxa"/>
                          </w:trPr>
                          <w:tc>
                            <w:tcPr>
                              <w:tcW w:w="0" w:type="auto"/>
                              <w:shd w:val="clear" w:color="auto" w:fill="FFFFFF"/>
                              <w:hideMark/>
                            </w:tcPr>
                            <w:p w14:paraId="0743BCB4" w14:textId="77777777" w:rsidR="00556141" w:rsidRDefault="00556141">
                              <w:r>
                                <w:t xml:space="preserve">Cocaine </w:t>
                              </w:r>
                            </w:p>
                          </w:tc>
                          <w:tc>
                            <w:tcPr>
                              <w:tcW w:w="0" w:type="auto"/>
                              <w:shd w:val="clear" w:color="auto" w:fill="FFFFFF"/>
                              <w:hideMark/>
                            </w:tcPr>
                            <w:p w14:paraId="4CAAEC0E" w14:textId="77777777" w:rsidR="00556141" w:rsidRDefault="00556141">
                              <w:r>
                                <w:t>1 hr</w:t>
                              </w:r>
                            </w:p>
                          </w:tc>
                          <w:tc>
                            <w:tcPr>
                              <w:tcW w:w="0" w:type="auto"/>
                              <w:shd w:val="clear" w:color="auto" w:fill="FFFFFF"/>
                              <w:hideMark/>
                            </w:tcPr>
                            <w:p w14:paraId="542EA46F" w14:textId="77777777" w:rsidR="00556141" w:rsidRDefault="00556141">
                              <w:r>
                                <w:t>18 min</w:t>
                              </w:r>
                            </w:p>
                          </w:tc>
                        </w:tr>
                        <w:tr w:rsidR="00556141" w14:paraId="0F335B97" w14:textId="77777777">
                          <w:trPr>
                            <w:tblCellSpacing w:w="7" w:type="dxa"/>
                          </w:trPr>
                          <w:tc>
                            <w:tcPr>
                              <w:tcW w:w="0" w:type="auto"/>
                              <w:shd w:val="clear" w:color="auto" w:fill="FFFFFF"/>
                              <w:hideMark/>
                            </w:tcPr>
                            <w:p w14:paraId="3AF1F543" w14:textId="77777777" w:rsidR="00556141" w:rsidRDefault="00556141">
                              <w:r>
                                <w:t xml:space="preserve">Theophylline </w:t>
                              </w:r>
                            </w:p>
                          </w:tc>
                          <w:tc>
                            <w:tcPr>
                              <w:tcW w:w="0" w:type="auto"/>
                              <w:shd w:val="clear" w:color="auto" w:fill="FFFFFF"/>
                              <w:hideMark/>
                            </w:tcPr>
                            <w:p w14:paraId="6F5AF1D7" w14:textId="77777777" w:rsidR="00556141" w:rsidRDefault="00556141">
                              <w:r>
                                <w:t>4.33 hr</w:t>
                              </w:r>
                            </w:p>
                          </w:tc>
                          <w:tc>
                            <w:tcPr>
                              <w:tcW w:w="0" w:type="auto"/>
                              <w:shd w:val="clear" w:color="auto" w:fill="FFFFFF"/>
                              <w:hideMark/>
                            </w:tcPr>
                            <w:p w14:paraId="0EFCB188" w14:textId="77777777" w:rsidR="00556141" w:rsidRDefault="00556141">
                              <w:r>
                                <w:t>7.2 min</w:t>
                              </w:r>
                            </w:p>
                          </w:tc>
                        </w:tr>
                        <w:tr w:rsidR="00556141" w14:paraId="66227B35" w14:textId="77777777">
                          <w:trPr>
                            <w:tblCellSpacing w:w="7" w:type="dxa"/>
                          </w:trPr>
                          <w:tc>
                            <w:tcPr>
                              <w:tcW w:w="0" w:type="auto"/>
                              <w:shd w:val="clear" w:color="auto" w:fill="FFFFFF"/>
                              <w:hideMark/>
                            </w:tcPr>
                            <w:p w14:paraId="404D77A3" w14:textId="77777777" w:rsidR="00556141" w:rsidRDefault="00556141">
                              <w:r>
                                <w:t>Ergometrine</w:t>
                              </w:r>
                            </w:p>
                          </w:tc>
                          <w:tc>
                            <w:tcPr>
                              <w:tcW w:w="0" w:type="auto"/>
                              <w:shd w:val="clear" w:color="auto" w:fill="FFFFFF"/>
                              <w:hideMark/>
                            </w:tcPr>
                            <w:p w14:paraId="76F38280" w14:textId="77777777" w:rsidR="00556141" w:rsidRDefault="00556141">
                              <w:r>
                                <w:t>2 hr</w:t>
                              </w:r>
                            </w:p>
                          </w:tc>
                          <w:tc>
                            <w:tcPr>
                              <w:tcW w:w="0" w:type="auto"/>
                              <w:shd w:val="clear" w:color="auto" w:fill="FFFFFF"/>
                              <w:hideMark/>
                            </w:tcPr>
                            <w:p w14:paraId="76E263FB" w14:textId="77777777" w:rsidR="00556141" w:rsidRDefault="00556141">
                              <w:r>
                                <w:t>11 min</w:t>
                              </w:r>
                            </w:p>
                          </w:tc>
                        </w:tr>
                        <w:tr w:rsidR="00556141" w14:paraId="4254ECD1" w14:textId="77777777">
                          <w:trPr>
                            <w:tblCellSpacing w:w="7" w:type="dxa"/>
                          </w:trPr>
                          <w:tc>
                            <w:tcPr>
                              <w:tcW w:w="0" w:type="auto"/>
                              <w:shd w:val="clear" w:color="auto" w:fill="FFFFFF"/>
                              <w:hideMark/>
                            </w:tcPr>
                            <w:p w14:paraId="53DD972A" w14:textId="77777777" w:rsidR="00556141" w:rsidRDefault="00556141">
                              <w:r>
                                <w:t xml:space="preserve">Hydromorphone </w:t>
                              </w:r>
                            </w:p>
                          </w:tc>
                          <w:tc>
                            <w:tcPr>
                              <w:tcW w:w="0" w:type="auto"/>
                              <w:shd w:val="clear" w:color="auto" w:fill="FFFFFF"/>
                              <w:hideMark/>
                            </w:tcPr>
                            <w:p w14:paraId="76FD0A36" w14:textId="77777777" w:rsidR="00556141" w:rsidRDefault="00556141">
                              <w:r>
                                <w:t>3 hr</w:t>
                              </w:r>
                            </w:p>
                          </w:tc>
                          <w:tc>
                            <w:tcPr>
                              <w:tcW w:w="0" w:type="auto"/>
                              <w:shd w:val="clear" w:color="auto" w:fill="FFFFFF"/>
                              <w:hideMark/>
                            </w:tcPr>
                            <w:p w14:paraId="647D9F4B" w14:textId="77777777" w:rsidR="00556141" w:rsidRDefault="00556141">
                              <w:r>
                                <w:t>14.7 min</w:t>
                              </w:r>
                            </w:p>
                          </w:tc>
                        </w:tr>
                        <w:tr w:rsidR="00556141" w14:paraId="422B86E8" w14:textId="77777777">
                          <w:trPr>
                            <w:tblCellSpacing w:w="7" w:type="dxa"/>
                          </w:trPr>
                          <w:tc>
                            <w:tcPr>
                              <w:tcW w:w="0" w:type="auto"/>
                              <w:shd w:val="clear" w:color="auto" w:fill="FFFFFF"/>
                              <w:hideMark/>
                            </w:tcPr>
                            <w:p w14:paraId="4F0DEF55" w14:textId="77777777" w:rsidR="00556141" w:rsidRDefault="00556141">
                              <w:r>
                                <w:t xml:space="preserve">Milrinone </w:t>
                              </w:r>
                            </w:p>
                          </w:tc>
                          <w:tc>
                            <w:tcPr>
                              <w:tcW w:w="0" w:type="auto"/>
                              <w:shd w:val="clear" w:color="auto" w:fill="FFFFFF"/>
                              <w:hideMark/>
                            </w:tcPr>
                            <w:p w14:paraId="64A36ED0" w14:textId="77777777" w:rsidR="00556141" w:rsidRDefault="00556141">
                              <w:r>
                                <w:t>3.6 hr</w:t>
                              </w:r>
                            </w:p>
                          </w:tc>
                          <w:tc>
                            <w:tcPr>
                              <w:tcW w:w="0" w:type="auto"/>
                              <w:shd w:val="clear" w:color="auto" w:fill="FFFFFF"/>
                              <w:hideMark/>
                            </w:tcPr>
                            <w:p w14:paraId="6CDF00B8" w14:textId="77777777" w:rsidR="00556141" w:rsidRDefault="00556141">
                              <w:r>
                                <w:t>4.6 min</w:t>
                              </w:r>
                            </w:p>
                          </w:tc>
                        </w:tr>
                        <w:tr w:rsidR="00556141" w14:paraId="071535ED" w14:textId="77777777">
                          <w:trPr>
                            <w:tblCellSpacing w:w="7" w:type="dxa"/>
                          </w:trPr>
                          <w:tc>
                            <w:tcPr>
                              <w:tcW w:w="0" w:type="auto"/>
                              <w:shd w:val="clear" w:color="auto" w:fill="FFFFFF"/>
                              <w:hideMark/>
                            </w:tcPr>
                            <w:p w14:paraId="1AE35A0F" w14:textId="77777777" w:rsidR="00556141" w:rsidRDefault="00556141">
                              <w:r>
                                <w:t xml:space="preserve">Procainamide </w:t>
                              </w:r>
                            </w:p>
                          </w:tc>
                          <w:tc>
                            <w:tcPr>
                              <w:tcW w:w="0" w:type="auto"/>
                              <w:shd w:val="clear" w:color="auto" w:fill="FFFFFF"/>
                              <w:hideMark/>
                            </w:tcPr>
                            <w:p w14:paraId="1F02BAE2" w14:textId="77777777" w:rsidR="00556141" w:rsidRDefault="00556141">
                              <w:r>
                                <w:t>2.5–4.7 hr</w:t>
                              </w:r>
                            </w:p>
                          </w:tc>
                          <w:tc>
                            <w:tcPr>
                              <w:tcW w:w="0" w:type="auto"/>
                              <w:shd w:val="clear" w:color="auto" w:fill="FFFFFF"/>
                              <w:hideMark/>
                            </w:tcPr>
                            <w:p w14:paraId="46C823E0" w14:textId="77777777" w:rsidR="00556141" w:rsidRDefault="00556141">
                              <w:r>
                                <w:t>6 min</w:t>
                              </w:r>
                            </w:p>
                          </w:tc>
                        </w:tr>
                        <w:tr w:rsidR="00556141" w14:paraId="42F6A0A5" w14:textId="77777777">
                          <w:trPr>
                            <w:tblCellSpacing w:w="7" w:type="dxa"/>
                          </w:trPr>
                          <w:tc>
                            <w:tcPr>
                              <w:tcW w:w="0" w:type="auto"/>
                              <w:shd w:val="clear" w:color="auto" w:fill="FFFFFF"/>
                              <w:hideMark/>
                            </w:tcPr>
                            <w:p w14:paraId="53C267A4" w14:textId="77777777" w:rsidR="00556141" w:rsidRDefault="00556141">
                              <w:r>
                                <w:t xml:space="preserve">Quinidine </w:t>
                              </w:r>
                            </w:p>
                          </w:tc>
                          <w:tc>
                            <w:tcPr>
                              <w:tcW w:w="0" w:type="auto"/>
                              <w:shd w:val="clear" w:color="auto" w:fill="FFFFFF"/>
                              <w:hideMark/>
                            </w:tcPr>
                            <w:p w14:paraId="640ECE4D" w14:textId="77777777" w:rsidR="00556141" w:rsidRDefault="00556141">
                              <w:r>
                                <w:t>6–8 hr</w:t>
                              </w:r>
                            </w:p>
                          </w:tc>
                          <w:tc>
                            <w:tcPr>
                              <w:tcW w:w="0" w:type="auto"/>
                              <w:shd w:val="clear" w:color="auto" w:fill="FFFFFF"/>
                              <w:hideMark/>
                            </w:tcPr>
                            <w:p w14:paraId="270D4401" w14:textId="77777777" w:rsidR="00556141" w:rsidRDefault="00556141">
                              <w:r>
                                <w:t>7 min</w:t>
                              </w:r>
                            </w:p>
                          </w:tc>
                        </w:tr>
                        <w:tr w:rsidR="00556141" w14:paraId="4CC2C5D8" w14:textId="77777777">
                          <w:trPr>
                            <w:tblCellSpacing w:w="7" w:type="dxa"/>
                          </w:trPr>
                          <w:tc>
                            <w:tcPr>
                              <w:tcW w:w="0" w:type="auto"/>
                              <w:shd w:val="clear" w:color="auto" w:fill="FFFFFF"/>
                              <w:hideMark/>
                            </w:tcPr>
                            <w:p w14:paraId="0A7DC252" w14:textId="77777777" w:rsidR="00556141" w:rsidRDefault="00556141">
                              <w:r>
                                <w:t xml:space="preserve">Lithium </w:t>
                              </w:r>
                            </w:p>
                          </w:tc>
                          <w:tc>
                            <w:tcPr>
                              <w:tcW w:w="0" w:type="auto"/>
                              <w:shd w:val="clear" w:color="auto" w:fill="FFFFFF"/>
                              <w:hideMark/>
                            </w:tcPr>
                            <w:p w14:paraId="1594783E" w14:textId="77777777" w:rsidR="00556141" w:rsidRDefault="00556141">
                              <w:r>
                                <w:t>21.39 hr</w:t>
                              </w:r>
                            </w:p>
                          </w:tc>
                          <w:tc>
                            <w:tcPr>
                              <w:tcW w:w="0" w:type="auto"/>
                              <w:shd w:val="clear" w:color="auto" w:fill="FFFFFF"/>
                              <w:hideMark/>
                            </w:tcPr>
                            <w:p w14:paraId="7BD59BB1" w14:textId="77777777" w:rsidR="00556141" w:rsidRDefault="00556141">
                              <w:r>
                                <w:t>5 hr</w:t>
                              </w:r>
                            </w:p>
                          </w:tc>
                        </w:tr>
                        <w:tr w:rsidR="00556141" w14:paraId="5534504C" w14:textId="77777777">
                          <w:trPr>
                            <w:tblCellSpacing w:w="7" w:type="dxa"/>
                          </w:trPr>
                          <w:tc>
                            <w:tcPr>
                              <w:tcW w:w="0" w:type="auto"/>
                              <w:shd w:val="clear" w:color="auto" w:fill="FFFFFF"/>
                              <w:hideMark/>
                            </w:tcPr>
                            <w:p w14:paraId="672CC2B6" w14:textId="77777777" w:rsidR="00556141" w:rsidRDefault="00556141">
                              <w:r>
                                <w:t xml:space="preserve">Digoxin </w:t>
                              </w:r>
                            </w:p>
                          </w:tc>
                          <w:tc>
                            <w:tcPr>
                              <w:tcW w:w="0" w:type="auto"/>
                              <w:shd w:val="clear" w:color="auto" w:fill="FFFFFF"/>
                              <w:hideMark/>
                            </w:tcPr>
                            <w:p w14:paraId="3B36B8C1" w14:textId="77777777" w:rsidR="00556141" w:rsidRDefault="00556141">
                              <w:r>
                                <w:t>1.6 days</w:t>
                              </w:r>
                            </w:p>
                          </w:tc>
                          <w:tc>
                            <w:tcPr>
                              <w:tcW w:w="0" w:type="auto"/>
                              <w:shd w:val="clear" w:color="auto" w:fill="FFFFFF"/>
                              <w:hideMark/>
                            </w:tcPr>
                            <w:p w14:paraId="3D5A8886" w14:textId="77777777" w:rsidR="00556141" w:rsidRDefault="00556141">
                              <w:r>
                                <w:t>35 min</w:t>
                              </w:r>
                            </w:p>
                          </w:tc>
                        </w:tr>
                        <w:tr w:rsidR="00556141" w14:paraId="23D8A0A8" w14:textId="77777777">
                          <w:trPr>
                            <w:tblCellSpacing w:w="7" w:type="dxa"/>
                          </w:trPr>
                          <w:tc>
                            <w:tcPr>
                              <w:tcW w:w="0" w:type="auto"/>
                              <w:shd w:val="clear" w:color="auto" w:fill="FFFFFF"/>
                              <w:hideMark/>
                            </w:tcPr>
                            <w:p w14:paraId="52F968B9" w14:textId="77777777" w:rsidR="00556141" w:rsidRDefault="00556141">
                              <w:r>
                                <w:t xml:space="preserve">Human FSH </w:t>
                              </w:r>
                            </w:p>
                          </w:tc>
                          <w:tc>
                            <w:tcPr>
                              <w:tcW w:w="0" w:type="auto"/>
                              <w:shd w:val="clear" w:color="auto" w:fill="FFFFFF"/>
                              <w:hideMark/>
                            </w:tcPr>
                            <w:p w14:paraId="45335760" w14:textId="77777777" w:rsidR="00556141" w:rsidRDefault="00556141">
                              <w:r>
                                <w:t>1 day</w:t>
                              </w:r>
                            </w:p>
                          </w:tc>
                          <w:tc>
                            <w:tcPr>
                              <w:tcW w:w="0" w:type="auto"/>
                              <w:shd w:val="clear" w:color="auto" w:fill="FFFFFF"/>
                              <w:hideMark/>
                            </w:tcPr>
                            <w:p w14:paraId="5DABD35E" w14:textId="77777777" w:rsidR="00556141" w:rsidRDefault="00556141">
                              <w:r>
                                <w:t>60 min</w:t>
                              </w:r>
                            </w:p>
                          </w:tc>
                        </w:tr>
                        <w:tr w:rsidR="00556141" w14:paraId="7613E4D9" w14:textId="77777777">
                          <w:trPr>
                            <w:tblCellSpacing w:w="7" w:type="dxa"/>
                          </w:trPr>
                          <w:tc>
                            <w:tcPr>
                              <w:tcW w:w="0" w:type="auto"/>
                              <w:shd w:val="clear" w:color="auto" w:fill="FFFFFF"/>
                              <w:hideMark/>
                            </w:tcPr>
                            <w:p w14:paraId="489808E6" w14:textId="77777777" w:rsidR="00556141" w:rsidRDefault="00556141">
                              <w:r>
                                <w:t>IgG1 kappa MAB</w:t>
                              </w:r>
                            </w:p>
                          </w:tc>
                          <w:tc>
                            <w:tcPr>
                              <w:tcW w:w="0" w:type="auto"/>
                              <w:shd w:val="clear" w:color="auto" w:fill="FFFFFF"/>
                              <w:hideMark/>
                            </w:tcPr>
                            <w:p w14:paraId="0B9A3E6B" w14:textId="77777777" w:rsidR="00556141" w:rsidRDefault="00556141">
                              <w:r>
                                <w:t>9.6 days (monkey)</w:t>
                              </w:r>
                            </w:p>
                          </w:tc>
                          <w:tc>
                            <w:tcPr>
                              <w:tcW w:w="0" w:type="auto"/>
                              <w:shd w:val="clear" w:color="auto" w:fill="FFFFFF"/>
                              <w:hideMark/>
                            </w:tcPr>
                            <w:p w14:paraId="375940B3" w14:textId="77777777" w:rsidR="00556141" w:rsidRDefault="00556141">
                              <w:r>
                                <w:t>6.7 hr</w:t>
                              </w:r>
                            </w:p>
                          </w:tc>
                        </w:tr>
                        <w:tr w:rsidR="00556141" w14:paraId="0EB54739" w14:textId="77777777">
                          <w:trPr>
                            <w:tblCellSpacing w:w="7" w:type="dxa"/>
                          </w:trPr>
                          <w:tc>
                            <w:tcPr>
                              <w:tcW w:w="0" w:type="auto"/>
                              <w:shd w:val="clear" w:color="auto" w:fill="FFFFFF"/>
                              <w:hideMark/>
                            </w:tcPr>
                            <w:p w14:paraId="743F4028" w14:textId="77777777" w:rsidR="00556141" w:rsidRDefault="00556141">
                              <w:r>
                                <w:t>Simulation 1</w:t>
                              </w:r>
                            </w:p>
                          </w:tc>
                          <w:tc>
                            <w:tcPr>
                              <w:tcW w:w="0" w:type="auto"/>
                              <w:shd w:val="clear" w:color="auto" w:fill="FFFFFF"/>
                              <w:hideMark/>
                            </w:tcPr>
                            <w:p w14:paraId="398D2AF4" w14:textId="77777777" w:rsidR="00556141" w:rsidRDefault="00556141">
                              <w:r>
                                <w:t>13.26 hr</w:t>
                              </w:r>
                            </w:p>
                          </w:tc>
                          <w:tc>
                            <w:tcPr>
                              <w:tcW w:w="0" w:type="auto"/>
                              <w:shd w:val="clear" w:color="auto" w:fill="FFFFFF"/>
                              <w:hideMark/>
                            </w:tcPr>
                            <w:p w14:paraId="77B5A62F" w14:textId="77777777" w:rsidR="00556141" w:rsidRDefault="00556141">
                              <w:r>
                                <w:t>36.24 min</w:t>
                              </w:r>
                            </w:p>
                          </w:tc>
                        </w:tr>
                        <w:tr w:rsidR="00556141" w14:paraId="56DBA337" w14:textId="77777777">
                          <w:trPr>
                            <w:tblCellSpacing w:w="7" w:type="dxa"/>
                          </w:trPr>
                          <w:tc>
                            <w:tcPr>
                              <w:tcW w:w="0" w:type="auto"/>
                              <w:shd w:val="clear" w:color="auto" w:fill="FFFFFF"/>
                              <w:hideMark/>
                            </w:tcPr>
                            <w:p w14:paraId="5B7A09C8" w14:textId="77777777" w:rsidR="00556141" w:rsidRDefault="00556141">
                              <w:r>
                                <w:t>Simulation 2</w:t>
                              </w:r>
                            </w:p>
                          </w:tc>
                          <w:tc>
                            <w:tcPr>
                              <w:tcW w:w="0" w:type="auto"/>
                              <w:shd w:val="clear" w:color="auto" w:fill="FFFFFF"/>
                              <w:hideMark/>
                            </w:tcPr>
                            <w:p w14:paraId="73D620B5" w14:textId="77777777" w:rsidR="00556141" w:rsidRDefault="00556141">
                              <w:r>
                                <w:t>16.60 hr</w:t>
                              </w:r>
                            </w:p>
                          </w:tc>
                          <w:tc>
                            <w:tcPr>
                              <w:tcW w:w="0" w:type="auto"/>
                              <w:shd w:val="clear" w:color="auto" w:fill="FFFFFF"/>
                              <w:hideMark/>
                            </w:tcPr>
                            <w:p w14:paraId="78B1C4E6" w14:textId="77777777" w:rsidR="00556141" w:rsidRDefault="00556141">
                              <w:r>
                                <w:t>43.38 min</w:t>
                              </w:r>
                            </w:p>
                          </w:tc>
                        </w:tr>
                        <w:tr w:rsidR="00556141" w14:paraId="04B2FE39" w14:textId="77777777">
                          <w:trPr>
                            <w:tblCellSpacing w:w="7" w:type="dxa"/>
                          </w:trPr>
                          <w:tc>
                            <w:tcPr>
                              <w:tcW w:w="0" w:type="auto"/>
                              <w:shd w:val="clear" w:color="auto" w:fill="FFFFFF"/>
                              <w:hideMark/>
                            </w:tcPr>
                            <w:p w14:paraId="431151F7" w14:textId="77777777" w:rsidR="00556141" w:rsidRDefault="00556141">
                              <w:r>
                                <w:t>Simulation 3</w:t>
                              </w:r>
                            </w:p>
                          </w:tc>
                          <w:tc>
                            <w:tcPr>
                              <w:tcW w:w="0" w:type="auto"/>
                              <w:shd w:val="clear" w:color="auto" w:fill="FFFFFF"/>
                              <w:hideMark/>
                            </w:tcPr>
                            <w:p w14:paraId="0A825A88" w14:textId="77777777" w:rsidR="00556141" w:rsidRDefault="00556141">
                              <w:r>
                                <w:t>26.83 hr</w:t>
                              </w:r>
                            </w:p>
                          </w:tc>
                          <w:tc>
                            <w:tcPr>
                              <w:tcW w:w="0" w:type="auto"/>
                              <w:shd w:val="clear" w:color="auto" w:fill="FFFFFF"/>
                              <w:hideMark/>
                            </w:tcPr>
                            <w:p w14:paraId="45D7D92A" w14:textId="77777777" w:rsidR="00556141" w:rsidRDefault="00556141">
                              <w:r>
                                <w:t>53.70 min</w:t>
                              </w:r>
                            </w:p>
                          </w:tc>
                        </w:tr>
                        <w:tr w:rsidR="00556141" w14:paraId="0D40D17B" w14:textId="77777777">
                          <w:trPr>
                            <w:tblCellSpacing w:w="7" w:type="dxa"/>
                          </w:trPr>
                          <w:tc>
                            <w:tcPr>
                              <w:tcW w:w="0" w:type="auto"/>
                              <w:shd w:val="clear" w:color="auto" w:fill="FFFFFF"/>
                              <w:hideMark/>
                            </w:tcPr>
                            <w:p w14:paraId="61CF7BA4" w14:textId="77777777" w:rsidR="00556141" w:rsidRDefault="00556141">
                              <w:r>
                                <w:t>Simulation 4</w:t>
                              </w:r>
                            </w:p>
                          </w:tc>
                          <w:tc>
                            <w:tcPr>
                              <w:tcW w:w="0" w:type="auto"/>
                              <w:shd w:val="clear" w:color="auto" w:fill="FFFFFF"/>
                              <w:hideMark/>
                            </w:tcPr>
                            <w:p w14:paraId="6FC71F7D" w14:textId="77777777" w:rsidR="00556141" w:rsidRDefault="00556141">
                              <w:r>
                                <w:t>213.7 hr</w:t>
                              </w:r>
                            </w:p>
                          </w:tc>
                          <w:tc>
                            <w:tcPr>
                              <w:tcW w:w="0" w:type="auto"/>
                              <w:shd w:val="clear" w:color="auto" w:fill="FFFFFF"/>
                              <w:hideMark/>
                            </w:tcPr>
                            <w:p w14:paraId="450FE13E" w14:textId="77777777" w:rsidR="00556141" w:rsidRDefault="00556141">
                              <w:r>
                                <w:t>1.12 hr</w:t>
                              </w:r>
                            </w:p>
                          </w:tc>
                        </w:tr>
                      </w:tbl>
                      <w:p w14:paraId="0AB119E1" w14:textId="77777777" w:rsidR="00556141" w:rsidRDefault="00556141"/>
                    </w:tc>
                  </w:tr>
                  <w:tr w:rsidR="00556141" w14:paraId="72667994" w14:textId="77777777">
                    <w:trPr>
                      <w:tblCellSpacing w:w="0" w:type="dxa"/>
                    </w:trPr>
                    <w:tc>
                      <w:tcPr>
                        <w:tcW w:w="0" w:type="auto"/>
                        <w:shd w:val="clear" w:color="auto" w:fill="FFFFFF"/>
                        <w:vAlign w:val="center"/>
                        <w:hideMark/>
                      </w:tcPr>
                      <w:p w14:paraId="28F6DF6F" w14:textId="77777777" w:rsidR="00556141" w:rsidRDefault="00556141">
                        <w:pPr>
                          <w:rPr>
                            <w:sz w:val="24"/>
                            <w:szCs w:val="24"/>
                          </w:rPr>
                        </w:pPr>
                        <w:bookmarkStart w:id="224" w:name="2486269"/>
                        <w:bookmarkEnd w:id="224"/>
                      </w:p>
                      <w:p w14:paraId="21E65C66" w14:textId="77777777" w:rsidR="00556141" w:rsidRDefault="00556141">
                        <w:pPr>
                          <w:pStyle w:val="font12"/>
                        </w:pPr>
                        <w:r>
                          <w:t xml:space="preserve">Simulation was performed using </w:t>
                        </w:r>
                        <w:r>
                          <w:rPr>
                            <w:i/>
                            <w:iCs/>
                          </w:rPr>
                          <w:t>V</w:t>
                        </w:r>
                        <w:r>
                          <w:t xml:space="preserve"> </w:t>
                        </w:r>
                        <w:r>
                          <w:rPr>
                            <w:vertAlign w:val="subscript"/>
                          </w:rPr>
                          <w:t>p</w:t>
                        </w:r>
                        <w:r>
                          <w:t xml:space="preserve"> of 10 L; dose = 100 mg; </w:t>
                        </w:r>
                        <w:r>
                          <w:rPr>
                            <w:i/>
                            <w:iCs/>
                          </w:rPr>
                          <w:t>k</w:t>
                        </w:r>
                        <w:r>
                          <w:t xml:space="preserve"> </w:t>
                        </w:r>
                        <w:r>
                          <w:rPr>
                            <w:vertAlign w:val="subscript"/>
                          </w:rPr>
                          <w:t>12</w:t>
                        </w:r>
                        <w:r>
                          <w:t xml:space="preserve"> = 0.5 hr</w:t>
                        </w:r>
                        <w:r>
                          <w:rPr>
                            <w:vertAlign w:val="superscript"/>
                          </w:rPr>
                          <w:t>–</w:t>
                        </w:r>
                        <w:r>
                          <w:t xml:space="preserve"> </w:t>
                        </w:r>
                        <w:r>
                          <w:rPr>
                            <w:vertAlign w:val="superscript"/>
                          </w:rPr>
                          <w:t>1</w:t>
                        </w:r>
                        <w:r>
                          <w:t xml:space="preserve">; </w:t>
                        </w:r>
                        <w:r>
                          <w:rPr>
                            <w:i/>
                            <w:iCs/>
                          </w:rPr>
                          <w:t>k</w:t>
                        </w:r>
                        <w:r>
                          <w:t xml:space="preserve"> </w:t>
                        </w:r>
                        <w:r>
                          <w:rPr>
                            <w:vertAlign w:val="subscript"/>
                          </w:rPr>
                          <w:t>21</w:t>
                        </w:r>
                        <w:r>
                          <w:t xml:space="preserve"> = 0.1 hr</w:t>
                        </w:r>
                        <w:r>
                          <w:rPr>
                            <w:vertAlign w:val="superscript"/>
                          </w:rPr>
                          <w:t>–</w:t>
                        </w:r>
                        <w:r>
                          <w:t xml:space="preserve"> </w:t>
                        </w:r>
                        <w:r>
                          <w:rPr>
                            <w:vertAlign w:val="superscript"/>
                          </w:rPr>
                          <w:t>1</w:t>
                        </w:r>
                        <w:r>
                          <w:t xml:space="preserve">; </w:t>
                        </w:r>
                        <w:r>
                          <w:rPr>
                            <w:i/>
                            <w:iCs/>
                          </w:rPr>
                          <w:t>k</w:t>
                        </w:r>
                        <w:r>
                          <w:t xml:space="preserve"> = 0.6, 0.4, 0.2, and 0.02 hr for simulations 1–4, respectively (using Eqs. 4.10 and 4.11).</w:t>
                        </w:r>
                      </w:p>
                      <w:p w14:paraId="1D737BF0" w14:textId="77777777" w:rsidR="00556141" w:rsidRDefault="00556141">
                        <w:pPr>
                          <w:pStyle w:val="font12"/>
                        </w:pPr>
                        <w:bookmarkStart w:id="225" w:name="2486270"/>
                        <w:bookmarkEnd w:id="225"/>
                        <w:r>
                          <w:t>Source: From manufacturer and , with permission.</w:t>
                        </w:r>
                      </w:p>
                    </w:tc>
                  </w:tr>
                </w:tbl>
                <w:p w14:paraId="60532956" w14:textId="77777777" w:rsidR="00556141" w:rsidRDefault="00556141">
                  <w:pPr>
                    <w:pStyle w:val="contentbody"/>
                  </w:pPr>
                  <w:bookmarkStart w:id="226" w:name="2486216"/>
                  <w:bookmarkEnd w:id="226"/>
                  <w:r>
                    <w:rPr>
                      <w:b/>
                      <w:bCs/>
                    </w:rPr>
                    <w:t>Clinical Example: Moxalactam, Effect of Changing Renal Function in Patients with Sepsis</w:t>
                  </w:r>
                  <w:r>
                    <w:t xml:space="preserve"> </w:t>
                  </w:r>
                </w:p>
                <w:p w14:paraId="7165AAC5" w14:textId="77777777" w:rsidR="00556141" w:rsidRDefault="00556141">
                  <w:pPr>
                    <w:pStyle w:val="contentbody"/>
                  </w:pPr>
                  <w:bookmarkStart w:id="227" w:name="2486217"/>
                  <w:bookmarkEnd w:id="227"/>
                  <w:r>
                    <w:t>The pharmacokinetics of moxalactam (see ) was examined in 40 patients with abdominal sepsis (). The patients were grouped according to creatinine clearances into three groups:</w:t>
                  </w:r>
                </w:p>
                <w:p w14:paraId="6455424C" w14:textId="77777777" w:rsidR="00556141" w:rsidRDefault="00556141">
                  <w:pPr>
                    <w:ind w:left="720"/>
                  </w:pPr>
                  <w:r>
                    <w:t>Group 1: Average creatinine clearance = 35.5 mL/min/1.73 m</w:t>
                  </w:r>
                  <w:r>
                    <w:rPr>
                      <w:vertAlign w:val="superscript"/>
                    </w:rPr>
                    <w:t>2</w:t>
                  </w:r>
                  <w:r>
                    <w:t xml:space="preserve"> </w:t>
                  </w:r>
                </w:p>
                <w:p w14:paraId="35DD4BD4" w14:textId="77777777" w:rsidR="00556141" w:rsidRDefault="00556141">
                  <w:pPr>
                    <w:ind w:left="720"/>
                  </w:pPr>
                  <w:r>
                    <w:t>Group 2: Average creatinine clearance = 67.1 ± 6.7 mL/min/1.73 m</w:t>
                  </w:r>
                  <w:r>
                    <w:rPr>
                      <w:vertAlign w:val="superscript"/>
                    </w:rPr>
                    <w:t>2</w:t>
                  </w:r>
                  <w:r>
                    <w:t xml:space="preserve"> </w:t>
                  </w:r>
                </w:p>
                <w:p w14:paraId="05B2E547" w14:textId="77777777" w:rsidR="00556141" w:rsidRDefault="00556141">
                  <w:pPr>
                    <w:ind w:left="720"/>
                  </w:pPr>
                  <w:r>
                    <w:t>Group 3: Average creatinine clearance = 117.2 ± 29.9 mL/min/1.73 m</w:t>
                  </w:r>
                  <w:r>
                    <w:rPr>
                      <w:vertAlign w:val="superscript"/>
                    </w:rPr>
                    <w:t>2</w:t>
                  </w:r>
                  <w:r>
                    <w:t xml:space="preserve"> </w:t>
                  </w:r>
                </w:p>
                <w:p w14:paraId="3B127F6E" w14:textId="37754A5D" w:rsidR="00556141" w:rsidRDefault="00556141">
                  <w:pPr>
                    <w:pStyle w:val="contentbody"/>
                  </w:pPr>
                  <w:bookmarkStart w:id="228" w:name="2486218"/>
                  <w:bookmarkEnd w:id="228"/>
                  <w:r>
                    <w:t xml:space="preserve">After intravenous bolus administration, the serum drug concentrations followed a biexponential decline (). The pharmacokinetics at steady state (2 g every 8 hr) was also examined in these patients. Mean steady-state serum concentrations ranged from 27.0 to 211.0 </w:t>
                  </w:r>
                  <w:r>
                    <w:rPr>
                      <w:noProof/>
                    </w:rPr>
                    <mc:AlternateContent>
                      <mc:Choice Requires="wps">
                        <w:drawing>
                          <wp:inline distT="0" distB="0" distL="0" distR="0" wp14:anchorId="6B89400F" wp14:editId="59B95EC3">
                            <wp:extent cx="304800" cy="304800"/>
                            <wp:effectExtent l="0" t="0" r="0" b="0"/>
                            <wp:docPr id="73148589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C0D20" id="Rectangle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g/mL and correlated inversely with creatinine clearance (</w:t>
                  </w:r>
                  <w:r>
                    <w:rPr>
                      <w:i/>
                      <w:iCs/>
                    </w:rPr>
                    <w:t>r</w:t>
                  </w:r>
                  <w:r>
                    <w:t xml:space="preserve"> = 0.91, </w:t>
                  </w:r>
                  <w:r>
                    <w:rPr>
                      <w:i/>
                      <w:iCs/>
                    </w:rPr>
                    <w:t xml:space="preserve">p </w:t>
                  </w:r>
                  <w:r>
                    <w:t>&lt; 0.0001). The terminal half-life ranged from 1.27 to 8.27 hours and reflected the varying renal function of the patients. Moxalactam total body clearance (</w:t>
                  </w:r>
                  <w:r>
                    <w:rPr>
                      <w:i/>
                      <w:iCs/>
                    </w:rPr>
                    <w:t xml:space="preserve">Cl) </w:t>
                  </w:r>
                  <w:r>
                    <w:t xml:space="preserve">had excellent correlation with </w:t>
                  </w:r>
                  <w:r>
                    <w:lastRenderedPageBreak/>
                    <w:t>creatinine clearance</w:t>
                  </w:r>
                  <w:r>
                    <w:rPr>
                      <w:i/>
                      <w:iCs/>
                    </w:rPr>
                    <w:t xml:space="preserve"> (r</w:t>
                  </w:r>
                  <w:r>
                    <w:t xml:space="preserve"> </w:t>
                  </w:r>
                  <w:r>
                    <w:rPr>
                      <w:vertAlign w:val="superscript"/>
                    </w:rPr>
                    <w:t>2</w:t>
                  </w:r>
                  <w:r>
                    <w:t xml:space="preserve"> = 0.92). </w:t>
                  </w:r>
                  <w:r>
                    <w:rPr>
                      <w:i/>
                      <w:iCs/>
                    </w:rPr>
                    <w:t>Cl</w:t>
                  </w:r>
                  <w:r>
                    <w:t xml:space="preserve"> determined by noncompartmental data analysis was in agreement with </w:t>
                  </w:r>
                  <w:r>
                    <w:rPr>
                      <w:i/>
                      <w:iCs/>
                    </w:rPr>
                    <w:t xml:space="preserve">Cl </w:t>
                  </w:r>
                  <w:r>
                    <w:t>determined by nonlinear least-squares regression</w:t>
                  </w:r>
                  <w:r>
                    <w:rPr>
                      <w:i/>
                      <w:iCs/>
                    </w:rPr>
                    <w:t xml:space="preserve"> (r</w:t>
                  </w:r>
                  <w:r>
                    <w:t xml:space="preserve"> = 0.99,</w:t>
                  </w:r>
                  <w:r>
                    <w:rPr>
                      <w:i/>
                      <w:iCs/>
                    </w:rPr>
                    <w:t xml:space="preserve"> p </w:t>
                  </w:r>
                  <w:r>
                    <w:t>&lt; 0.0001). Moxalactam total body clearance was best predicted from creatinine clearance corrected for body surface area.</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56141" w14:paraId="6E59F1F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56141" w14:paraId="7FB1D505" w14:textId="77777777">
                          <w:trPr>
                            <w:tblCellSpacing w:w="7" w:type="dxa"/>
                          </w:trPr>
                          <w:tc>
                            <w:tcPr>
                              <w:tcW w:w="0" w:type="auto"/>
                              <w:shd w:val="clear" w:color="auto" w:fill="CCCCCC"/>
                              <w:vAlign w:val="center"/>
                              <w:hideMark/>
                            </w:tcPr>
                            <w:p w14:paraId="4FAF6000" w14:textId="77777777" w:rsidR="00556141" w:rsidRDefault="00556141">
                              <w:pPr>
                                <w:pStyle w:val="tabletitle"/>
                              </w:pPr>
                              <w:bookmarkStart w:id="229" w:name="2486289"/>
                              <w:bookmarkEnd w:id="229"/>
                              <w:r>
                                <w:t>Figure 4-10.</w:t>
                              </w:r>
                            </w:p>
                            <w:p w14:paraId="1602ACF4" w14:textId="77777777" w:rsidR="00556141" w:rsidRDefault="00556141"/>
                          </w:tc>
                        </w:tr>
                      </w:tbl>
                      <w:p w14:paraId="64460C7D" w14:textId="77777777" w:rsidR="00556141" w:rsidRDefault="00556141"/>
                    </w:tc>
                  </w:tr>
                  <w:tr w:rsidR="00556141" w14:paraId="083BECF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56141" w14:paraId="6F0F5B07" w14:textId="77777777">
                          <w:trPr>
                            <w:tblCellSpacing w:w="7" w:type="dxa"/>
                          </w:trPr>
                          <w:tc>
                            <w:tcPr>
                              <w:tcW w:w="0" w:type="auto"/>
                              <w:shd w:val="clear" w:color="auto" w:fill="FFFFFF"/>
                              <w:vAlign w:val="center"/>
                              <w:hideMark/>
                            </w:tcPr>
                            <w:p w14:paraId="0BA5B4A2" w14:textId="25F25D53" w:rsidR="00556141" w:rsidRDefault="00556141">
                              <w:pPr>
                                <w:jc w:val="center"/>
                                <w:rPr>
                                  <w:sz w:val="24"/>
                                  <w:szCs w:val="24"/>
                                </w:rPr>
                              </w:pPr>
                              <w:r>
                                <w:rPr>
                                  <w:noProof/>
                                </w:rPr>
                                <mc:AlternateContent>
                                  <mc:Choice Requires="wps">
                                    <w:drawing>
                                      <wp:inline distT="0" distB="0" distL="0" distR="0" wp14:anchorId="0B6B7ED5" wp14:editId="219D2DCA">
                                        <wp:extent cx="304800" cy="304800"/>
                                        <wp:effectExtent l="0" t="0" r="0" b="0"/>
                                        <wp:docPr id="1023890035"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687E8"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56141" w14:paraId="721B6DC9" w14:textId="77777777">
                          <w:trPr>
                            <w:tblCellSpacing w:w="7" w:type="dxa"/>
                          </w:trPr>
                          <w:tc>
                            <w:tcPr>
                              <w:tcW w:w="0" w:type="auto"/>
                              <w:shd w:val="clear" w:color="auto" w:fill="FFFFFF"/>
                              <w:vAlign w:val="center"/>
                              <w:hideMark/>
                            </w:tcPr>
                            <w:p w14:paraId="3B2413E1" w14:textId="77777777" w:rsidR="00556141" w:rsidRDefault="00556141">
                              <w:pPr>
                                <w:pStyle w:val="font11"/>
                              </w:pPr>
                              <w:bookmarkStart w:id="230" w:name="2486290"/>
                              <w:bookmarkEnd w:id="230"/>
                              <w:r>
                                <w:t>Moxalactam serum concentration in three groups of patients: group 1, average creatinine concentration = 35.5 mL/min/1.73 m</w:t>
                              </w:r>
                              <w:r>
                                <w:rPr>
                                  <w:vertAlign w:val="superscript"/>
                                </w:rPr>
                                <w:t>2</w:t>
                              </w:r>
                              <w:r>
                                <w:t>; group 2, average creatinine concentration = 67.1 ± 6.7 mL/min/1.73 m</w:t>
                              </w:r>
                              <w:r>
                                <w:rPr>
                                  <w:vertAlign w:val="superscript"/>
                                </w:rPr>
                                <w:t>2</w:t>
                              </w:r>
                              <w:r>
                                <w:t>; group 3, average creatinine concentration = 117.2 ± 29.9 mL/min/1.73 m</w:t>
                              </w:r>
                              <w:r>
                                <w:rPr>
                                  <w:vertAlign w:val="superscript"/>
                                </w:rPr>
                                <w:t>2</w:t>
                              </w:r>
                              <w:r>
                                <w:t>.</w:t>
                              </w:r>
                            </w:p>
                          </w:tc>
                        </w:tr>
                      </w:tbl>
                      <w:p w14:paraId="214FAA10" w14:textId="77777777" w:rsidR="00556141" w:rsidRDefault="00556141"/>
                    </w:tc>
                  </w:tr>
                </w:tbl>
                <w:p w14:paraId="7DFED908" w14:textId="77777777" w:rsidR="00556141" w:rsidRDefault="00556141">
                  <w:pPr>
                    <w:pStyle w:val="contentbody"/>
                  </w:pPr>
                  <w:bookmarkStart w:id="231" w:name="2486219"/>
                  <w:bookmarkEnd w:id="231"/>
                  <w:r>
                    <w:rPr>
                      <w:b/>
                      <w:bCs/>
                      <w:i/>
                      <w:iCs/>
                    </w:rPr>
                    <w:t>Questions (Refer to )</w:t>
                  </w:r>
                  <w:r>
                    <w:t xml:space="preserve"> </w:t>
                  </w:r>
                </w:p>
                <w:p w14:paraId="34D8FA2C" w14:textId="77777777" w:rsidR="00556141" w:rsidRDefault="00556141">
                  <w:pPr>
                    <w:ind w:left="720"/>
                  </w:pPr>
                  <w:r>
                    <w:rPr>
                      <w:b/>
                      <w:bCs/>
                    </w:rPr>
                    <w:t>1.</w:t>
                  </w:r>
                  <w:r>
                    <w:t xml:space="preserve"> Calculate the beta half-life of moxalactam in the most renally impaired group. </w:t>
                  </w:r>
                </w:p>
                <w:p w14:paraId="030243FA" w14:textId="77777777" w:rsidR="00556141" w:rsidRDefault="00556141">
                  <w:pPr>
                    <w:ind w:left="720"/>
                  </w:pPr>
                  <w:r>
                    <w:rPr>
                      <w:b/>
                      <w:bCs/>
                    </w:rPr>
                    <w:t>2.</w:t>
                  </w:r>
                  <w:r>
                    <w:t xml:space="preserve"> What indicator is used to predict moxalactam clearance in the body? </w:t>
                  </w:r>
                </w:p>
                <w:p w14:paraId="08F68712" w14:textId="77777777" w:rsidR="00556141" w:rsidRDefault="00556141">
                  <w:pPr>
                    <w:ind w:left="720"/>
                  </w:pPr>
                  <w:r>
                    <w:rPr>
                      <w:b/>
                      <w:bCs/>
                    </w:rPr>
                    <w:t>3.</w:t>
                  </w:r>
                  <w:r>
                    <w:t xml:space="preserve"> What is the beta volume of distribution of patients in group 3 with normal renal function? </w:t>
                  </w:r>
                </w:p>
                <w:p w14:paraId="74A86853" w14:textId="77777777" w:rsidR="00556141" w:rsidRDefault="00556141">
                  <w:pPr>
                    <w:ind w:left="720"/>
                  </w:pPr>
                  <w:r>
                    <w:rPr>
                      <w:b/>
                      <w:bCs/>
                    </w:rPr>
                    <w:t>4.</w:t>
                  </w:r>
                  <w:r>
                    <w:t xml:space="preserve"> What is the initial volume (</w:t>
                  </w:r>
                  <w:r>
                    <w:rPr>
                      <w:i/>
                      <w:iCs/>
                    </w:rPr>
                    <w:t>V</w:t>
                  </w:r>
                  <w:r>
                    <w:t xml:space="preserve"> </w:t>
                  </w:r>
                  <w:r>
                    <w:rPr>
                      <w:vertAlign w:val="subscript"/>
                    </w:rPr>
                    <w:t>i</w:t>
                  </w:r>
                  <w:r>
                    <w:t>) of moxalactam?</w:t>
                  </w:r>
                </w:p>
                <w:p w14:paraId="7BB71E1E" w14:textId="77777777" w:rsidR="00556141" w:rsidRDefault="00556141">
                  <w:pPr>
                    <w:pStyle w:val="contentbody"/>
                  </w:pPr>
                  <w:bookmarkStart w:id="232" w:name="2486220"/>
                  <w:bookmarkEnd w:id="232"/>
                  <w:r>
                    <w:rPr>
                      <w:b/>
                      <w:bCs/>
                      <w:i/>
                      <w:iCs/>
                    </w:rPr>
                    <w:t>Solutions</w:t>
                  </w:r>
                  <w:r>
                    <w:t xml:space="preserve"> </w:t>
                  </w:r>
                </w:p>
                <w:p w14:paraId="3B0B5E0F" w14:textId="77777777" w:rsidR="00556141" w:rsidRDefault="00556141">
                  <w:pPr>
                    <w:ind w:left="720"/>
                  </w:pPr>
                  <w:r>
                    <w:rPr>
                      <w:b/>
                      <w:bCs/>
                    </w:rPr>
                    <w:t>1.</w:t>
                  </w:r>
                  <w:r>
                    <w:t xml:space="preserve"> Mean beta half-life is 0.693/0.20 = 3.47 hours in the most renally impaired group. </w:t>
                  </w:r>
                </w:p>
                <w:p w14:paraId="3E243459" w14:textId="77777777" w:rsidR="00556141" w:rsidRDefault="00556141">
                  <w:pPr>
                    <w:ind w:left="720"/>
                  </w:pPr>
                  <w:r>
                    <w:rPr>
                      <w:b/>
                      <w:bCs/>
                    </w:rPr>
                    <w:t>2.</w:t>
                  </w:r>
                  <w:r>
                    <w:t xml:space="preserve"> Creatinine is mainly filtered through the kidney, and creatinine clearance is used as an indicator of renal glomerular filtration rate. Group 3 has normal renal function (average creatinine clearance = 117.2 mL/min/1.73 m</w:t>
                  </w:r>
                  <w:r>
                    <w:rPr>
                      <w:vertAlign w:val="superscript"/>
                    </w:rPr>
                    <w:t>2</w:t>
                  </w:r>
                  <w:r>
                    <w:t xml:space="preserve">) (see ). </w:t>
                  </w:r>
                </w:p>
                <w:p w14:paraId="0DF91E71" w14:textId="77777777" w:rsidR="00556141" w:rsidRDefault="00556141">
                  <w:pPr>
                    <w:ind w:left="720"/>
                  </w:pPr>
                  <w:r>
                    <w:rPr>
                      <w:b/>
                      <w:bCs/>
                    </w:rPr>
                    <w:t>3.</w:t>
                  </w:r>
                  <w:r>
                    <w:t xml:space="preserve"> Beta volume of distribution: Moxalactam clearance in group 3 subjects is 125.9 mL/min. From Equation 4.31, </w:t>
                  </w:r>
                </w:p>
                <w:p w14:paraId="29117BF1" w14:textId="03133506" w:rsidR="00556141" w:rsidRDefault="00556141">
                  <w:pPr>
                    <w:ind w:left="720"/>
                  </w:pPr>
                  <w:bookmarkStart w:id="233" w:name="2486342"/>
                  <w:bookmarkEnd w:id="233"/>
                  <w:r>
                    <w:rPr>
                      <w:noProof/>
                    </w:rPr>
                    <mc:AlternateContent>
                      <mc:Choice Requires="wps">
                        <w:drawing>
                          <wp:inline distT="0" distB="0" distL="0" distR="0" wp14:anchorId="35ED5CC3" wp14:editId="2C062702">
                            <wp:extent cx="304800" cy="304800"/>
                            <wp:effectExtent l="0" t="0" r="0" b="0"/>
                            <wp:docPr id="1122851746"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CE293"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CC8A72" w14:textId="77777777" w:rsidR="00556141" w:rsidRDefault="00556141">
                  <w:pPr>
                    <w:ind w:left="720"/>
                  </w:pPr>
                  <w:r>
                    <w:rPr>
                      <w:b/>
                      <w:bCs/>
                    </w:rPr>
                    <w:t>4.</w:t>
                  </w:r>
                  <w:r>
                    <w:t xml:space="preserve"> The volume of the plasma compartment, </w:t>
                  </w:r>
                  <w:r>
                    <w:rPr>
                      <w:i/>
                      <w:iCs/>
                    </w:rPr>
                    <w:t>V</w:t>
                  </w:r>
                  <w:r>
                    <w:t xml:space="preserve"> </w:t>
                  </w:r>
                  <w:r>
                    <w:rPr>
                      <w:vertAlign w:val="subscript"/>
                    </w:rPr>
                    <w:t>p</w:t>
                  </w:r>
                  <w:r>
                    <w:t xml:space="preserve">, is sometimes referred to as the initial volume. </w:t>
                  </w:r>
                  <w:r>
                    <w:rPr>
                      <w:i/>
                      <w:iCs/>
                    </w:rPr>
                    <w:t>V</w:t>
                  </w:r>
                  <w:r>
                    <w:t xml:space="preserve"> </w:t>
                  </w:r>
                  <w:r>
                    <w:rPr>
                      <w:vertAlign w:val="subscript"/>
                    </w:rPr>
                    <w:t>p</w:t>
                  </w:r>
                  <w:r>
                    <w:t xml:space="preserve"> ranges from 0.12 to 0.15 L/kg among the three groups and is considerably smaller than the steady-state volume of distribution.</w:t>
                  </w:r>
                </w:p>
                <w:p w14:paraId="27E7EC3E" w14:textId="77777777" w:rsidR="00556141" w:rsidRDefault="00556141">
                  <w:pPr>
                    <w:pStyle w:val="contentbody"/>
                  </w:pPr>
                  <w:bookmarkStart w:id="234" w:name="2486221"/>
                  <w:bookmarkEnd w:id="234"/>
                  <w:r>
                    <w:rPr>
                      <w:b/>
                      <w:bCs/>
                    </w:rPr>
                    <w:t>Clinical Example: Azithromycin Pharmacokinetics</w:t>
                  </w:r>
                  <w:r>
                    <w:t xml:space="preserve"> </w:t>
                  </w:r>
                </w:p>
                <w:p w14:paraId="075EBC2D" w14:textId="77777777" w:rsidR="00556141" w:rsidRDefault="00556141">
                  <w:pPr>
                    <w:pStyle w:val="contentbody"/>
                  </w:pPr>
                  <w:bookmarkStart w:id="235" w:name="2486222"/>
                  <w:bookmarkEnd w:id="235"/>
                  <w:r>
                    <w:t>Following oral administration, azithromycin is rapidly absorbed and widely distributed throughout the body. Azithromycin is rapidly distributed into tissues, with high drug concentrations within cells, resulting in significantly higher azithromycin concentrations in tissue than in plasma. The high values for plasma clearance (630 mL/min) suggest that the prolonged half-life is due to extensive uptake and subsequent release of drug from tissues.</w:t>
                  </w:r>
                </w:p>
                <w:p w14:paraId="5865BFEC" w14:textId="77777777" w:rsidR="00556141" w:rsidRDefault="00556141">
                  <w:pPr>
                    <w:pStyle w:val="contentbody"/>
                  </w:pPr>
                  <w:bookmarkStart w:id="236" w:name="2486223"/>
                  <w:bookmarkEnd w:id="236"/>
                  <w:r>
                    <w:t xml:space="preserve">Plasma concentrations of azithromycin decline in a polyphasic pattern, resulting in an average terminal half-life of 68 hours. With this regimen, </w:t>
                  </w:r>
                  <w:r>
                    <w:rPr>
                      <w:i/>
                      <w:iCs/>
                    </w:rPr>
                    <w:t>C</w:t>
                  </w:r>
                  <w:r>
                    <w:t xml:space="preserve"> </w:t>
                  </w:r>
                  <w:r>
                    <w:rPr>
                      <w:vertAlign w:val="subscript"/>
                    </w:rPr>
                    <w:t>min</w:t>
                  </w:r>
                  <w:r>
                    <w:t xml:space="preserve"> and </w:t>
                  </w:r>
                  <w:r>
                    <w:rPr>
                      <w:i/>
                      <w:iCs/>
                    </w:rPr>
                    <w:t>C</w:t>
                  </w:r>
                  <w:r>
                    <w:t xml:space="preserve"> </w:t>
                  </w:r>
                  <w:r>
                    <w:rPr>
                      <w:vertAlign w:val="subscript"/>
                    </w:rPr>
                    <w:t>max</w:t>
                  </w:r>
                  <w:r>
                    <w:t xml:space="preserve"> remained essentially unchanged from day 2 through day 5 of therapy. However, without a loading dose, azithromycin </w:t>
                  </w:r>
                  <w:r>
                    <w:rPr>
                      <w:i/>
                      <w:iCs/>
                    </w:rPr>
                    <w:t>C</w:t>
                  </w:r>
                  <w:r>
                    <w:t xml:space="preserve"> </w:t>
                  </w:r>
                  <w:r>
                    <w:rPr>
                      <w:vertAlign w:val="subscript"/>
                    </w:rPr>
                    <w:t>min</w:t>
                  </w:r>
                  <w:r>
                    <w:t xml:space="preserve"> levels required 5–7 days to reach desirable plasma levels.</w:t>
                  </w:r>
                </w:p>
                <w:p w14:paraId="528095B4" w14:textId="77777777" w:rsidR="00556141" w:rsidRDefault="00556141">
                  <w:pPr>
                    <w:pStyle w:val="contentbody"/>
                  </w:pPr>
                  <w:bookmarkStart w:id="237" w:name="2486224"/>
                  <w:bookmarkEnd w:id="237"/>
                  <w:r>
                    <w:t>The pharmacokinetic parameters of azithromycin in healthy elderly male subjects (65–85 years) were similar to those in young adults. Although higher peak drug concentrations (increased by 30–50%) were observed in elderly women, no significant accumulation occurred.</w:t>
                  </w:r>
                </w:p>
                <w:p w14:paraId="29FBF37B" w14:textId="77777777" w:rsidR="00556141" w:rsidRDefault="00556141">
                  <w:pPr>
                    <w:pStyle w:val="contentbody"/>
                  </w:pPr>
                  <w:bookmarkStart w:id="238" w:name="2486225"/>
                  <w:bookmarkEnd w:id="238"/>
                  <w:r>
                    <w:rPr>
                      <w:b/>
                      <w:bCs/>
                      <w:i/>
                      <w:iCs/>
                    </w:rPr>
                    <w:t>Questions</w:t>
                  </w:r>
                  <w:r>
                    <w:t xml:space="preserve"> </w:t>
                  </w:r>
                </w:p>
                <w:p w14:paraId="41B88E66" w14:textId="77777777" w:rsidR="00556141" w:rsidRDefault="00556141">
                  <w:pPr>
                    <w:ind w:left="720"/>
                  </w:pPr>
                  <w:r>
                    <w:rPr>
                      <w:b/>
                      <w:bCs/>
                    </w:rPr>
                    <w:t>1.</w:t>
                  </w:r>
                  <w:r>
                    <w:t xml:space="preserve"> Do you agree with the following statements for a drug that is described by a two-compartment pharmacokinetic model? At peak </w:t>
                  </w:r>
                  <w:r>
                    <w:rPr>
                      <w:i/>
                      <w:iCs/>
                    </w:rPr>
                    <w:t>C</w:t>
                  </w:r>
                  <w:r>
                    <w:t xml:space="preserve"> </w:t>
                  </w:r>
                  <w:r>
                    <w:rPr>
                      <w:vertAlign w:val="subscript"/>
                    </w:rPr>
                    <w:t>t</w:t>
                  </w:r>
                  <w:r>
                    <w:t xml:space="preserve">, the drug is well equilibrated between the plasma and the tissue </w:t>
                  </w:r>
                  <w:r>
                    <w:lastRenderedPageBreak/>
                    <w:t xml:space="preserve">compartment, </w:t>
                  </w:r>
                  <w:r>
                    <w:rPr>
                      <w:i/>
                      <w:iCs/>
                    </w:rPr>
                    <w:t>C</w:t>
                  </w:r>
                  <w:r>
                    <w:t xml:space="preserve"> </w:t>
                  </w:r>
                  <w:r>
                    <w:rPr>
                      <w:vertAlign w:val="subscript"/>
                    </w:rPr>
                    <w:t>p</w:t>
                  </w:r>
                  <w:r>
                    <w:t xml:space="preserve"> = </w:t>
                  </w:r>
                  <w:r>
                    <w:rPr>
                      <w:i/>
                      <w:iCs/>
                    </w:rPr>
                    <w:t>C</w:t>
                  </w:r>
                  <w:r>
                    <w:t xml:space="preserve"> </w:t>
                  </w:r>
                  <w:r>
                    <w:rPr>
                      <w:vertAlign w:val="subscript"/>
                    </w:rPr>
                    <w:t>t</w:t>
                  </w:r>
                  <w:r>
                    <w:t xml:space="preserve">, and the rates of drug diffusion into and from the plasma compartment are equal. </w:t>
                  </w:r>
                </w:p>
                <w:p w14:paraId="603BBB4A" w14:textId="77777777" w:rsidR="00556141" w:rsidRDefault="00556141">
                  <w:pPr>
                    <w:ind w:left="720"/>
                  </w:pPr>
                  <w:r>
                    <w:rPr>
                      <w:b/>
                      <w:bCs/>
                    </w:rPr>
                    <w:t>2.</w:t>
                  </w:r>
                  <w:r>
                    <w:t xml:space="preserve"> What happens after peak </w:t>
                  </w:r>
                  <w:r>
                    <w:rPr>
                      <w:i/>
                      <w:iCs/>
                    </w:rPr>
                    <w:t>C</w:t>
                  </w:r>
                  <w:r>
                    <w:t xml:space="preserve"> </w:t>
                  </w:r>
                  <w:r>
                    <w:rPr>
                      <w:vertAlign w:val="subscript"/>
                    </w:rPr>
                    <w:t>t</w:t>
                  </w:r>
                  <w:r>
                    <w:t xml:space="preserve">? </w:t>
                  </w:r>
                </w:p>
                <w:p w14:paraId="6E8CF6B9" w14:textId="77777777" w:rsidR="00556141" w:rsidRDefault="00556141">
                  <w:pPr>
                    <w:ind w:left="720"/>
                  </w:pPr>
                  <w:r>
                    <w:rPr>
                      <w:b/>
                      <w:bCs/>
                    </w:rPr>
                    <w:t>3.</w:t>
                  </w:r>
                  <w:r>
                    <w:t xml:space="preserve"> Why is a loading dose used? </w:t>
                  </w:r>
                </w:p>
                <w:p w14:paraId="30E2062D" w14:textId="77777777" w:rsidR="00556141" w:rsidRDefault="00556141">
                  <w:pPr>
                    <w:ind w:left="720"/>
                  </w:pPr>
                  <w:r>
                    <w:rPr>
                      <w:b/>
                      <w:bCs/>
                    </w:rPr>
                    <w:t>4.</w:t>
                  </w:r>
                  <w:r>
                    <w:t xml:space="preserve"> What is </w:t>
                  </w:r>
                  <w:r>
                    <w:rPr>
                      <w:i/>
                      <w:iCs/>
                    </w:rPr>
                    <w:t>V</w:t>
                  </w:r>
                  <w:r>
                    <w:t xml:space="preserve"> </w:t>
                  </w:r>
                  <w:r>
                    <w:rPr>
                      <w:vertAlign w:val="subscript"/>
                    </w:rPr>
                    <w:t>i</w:t>
                  </w:r>
                  <w:r>
                    <w:t xml:space="preserve">? How is this volume related to </w:t>
                  </w:r>
                  <w:r>
                    <w:rPr>
                      <w:i/>
                      <w:iCs/>
                    </w:rPr>
                    <w:t>V</w:t>
                  </w:r>
                  <w:r>
                    <w:t xml:space="preserve"> </w:t>
                  </w:r>
                  <w:r>
                    <w:rPr>
                      <w:vertAlign w:val="subscript"/>
                    </w:rPr>
                    <w:t>p</w:t>
                  </w:r>
                  <w:r>
                    <w:t xml:space="preserve">? </w:t>
                  </w:r>
                </w:p>
                <w:p w14:paraId="6A13C6A2" w14:textId="77777777" w:rsidR="00556141" w:rsidRDefault="00556141">
                  <w:pPr>
                    <w:ind w:left="720"/>
                  </w:pPr>
                  <w:r>
                    <w:rPr>
                      <w:b/>
                      <w:bCs/>
                    </w:rPr>
                    <w:t>5.</w:t>
                  </w:r>
                  <w:r>
                    <w:t xml:space="preserve"> What population factors could affect the concentration of azithromycin?</w:t>
                  </w:r>
                </w:p>
                <w:p w14:paraId="13B83056" w14:textId="77777777" w:rsidR="00556141" w:rsidRDefault="00556141">
                  <w:pPr>
                    <w:pStyle w:val="contentbody"/>
                  </w:pPr>
                  <w:bookmarkStart w:id="239" w:name="2486226"/>
                  <w:bookmarkEnd w:id="239"/>
                  <w:r>
                    <w:rPr>
                      <w:b/>
                      <w:bCs/>
                      <w:i/>
                      <w:iCs/>
                    </w:rPr>
                    <w:t>Solutions</w:t>
                  </w:r>
                  <w:r>
                    <w:t xml:space="preserve"> </w:t>
                  </w:r>
                </w:p>
                <w:p w14:paraId="1C2313E8" w14:textId="77777777" w:rsidR="00556141" w:rsidRDefault="00556141">
                  <w:pPr>
                    <w:ind w:left="720"/>
                  </w:pPr>
                  <w:r>
                    <w:rPr>
                      <w:b/>
                      <w:bCs/>
                    </w:rPr>
                    <w:t>1.</w:t>
                  </w:r>
                  <w:r>
                    <w:t xml:space="preserve"> For a drug that follows a multicompartment model, the rates of drug diffusion into the tissues from the plasma and from the tissues into the plasma are equal at peak tissue concentrations. However, the tissue drug concentration is generally not equal to the plasma drug concentration. </w:t>
                  </w:r>
                </w:p>
                <w:p w14:paraId="08BF7BC2" w14:textId="77777777" w:rsidR="00556141" w:rsidRDefault="00556141">
                  <w:pPr>
                    <w:ind w:left="720"/>
                  </w:pPr>
                  <w:r>
                    <w:rPr>
                      <w:b/>
                      <w:bCs/>
                    </w:rPr>
                    <w:t>2.</w:t>
                  </w:r>
                  <w:r>
                    <w:t xml:space="preserve"> After peak </w:t>
                  </w:r>
                  <w:r>
                    <w:rPr>
                      <w:i/>
                      <w:iCs/>
                    </w:rPr>
                    <w:t>C</w:t>
                  </w:r>
                  <w:r>
                    <w:t xml:space="preserve"> </w:t>
                  </w:r>
                  <w:r>
                    <w:rPr>
                      <w:vertAlign w:val="subscript"/>
                    </w:rPr>
                    <w:t>t</w:t>
                  </w:r>
                  <w:r>
                    <w:t xml:space="preserve">, the rate out of the tissue exceeds the rate into the tissue, and </w:t>
                  </w:r>
                  <w:r>
                    <w:rPr>
                      <w:i/>
                      <w:iCs/>
                    </w:rPr>
                    <w:t>C</w:t>
                  </w:r>
                  <w:r>
                    <w:t xml:space="preserve"> </w:t>
                  </w:r>
                  <w:r>
                    <w:rPr>
                      <w:vertAlign w:val="subscript"/>
                    </w:rPr>
                    <w:t>t</w:t>
                  </w:r>
                  <w:r>
                    <w:t xml:space="preserve"> falls. The decline of </w:t>
                  </w:r>
                  <w:r>
                    <w:rPr>
                      <w:i/>
                      <w:iCs/>
                    </w:rPr>
                    <w:t>C</w:t>
                  </w:r>
                  <w:r>
                    <w:t xml:space="preserve"> </w:t>
                  </w:r>
                  <w:r>
                    <w:rPr>
                      <w:vertAlign w:val="subscript"/>
                    </w:rPr>
                    <w:t>t</w:t>
                  </w:r>
                  <w:r>
                    <w:t xml:space="preserve"> parallels that of </w:t>
                  </w:r>
                  <w:r>
                    <w:rPr>
                      <w:i/>
                      <w:iCs/>
                    </w:rPr>
                    <w:t>C</w:t>
                  </w:r>
                  <w:r>
                    <w:t xml:space="preserve"> </w:t>
                  </w:r>
                  <w:r>
                    <w:rPr>
                      <w:vertAlign w:val="subscript"/>
                    </w:rPr>
                    <w:t>p</w:t>
                  </w:r>
                  <w:r>
                    <w:t xml:space="preserve">, and occurs because distribution equilibrium has occurred. </w:t>
                  </w:r>
                </w:p>
                <w:p w14:paraId="34FB781A" w14:textId="77777777" w:rsidR="00556141" w:rsidRDefault="00556141">
                  <w:pPr>
                    <w:ind w:left="720"/>
                  </w:pPr>
                  <w:r>
                    <w:rPr>
                      <w:b/>
                      <w:bCs/>
                    </w:rPr>
                    <w:t>3.</w:t>
                  </w:r>
                  <w:r>
                    <w:t xml:space="preserve"> When drugs are given in a multiple-dose regimen, a loading dose may be given to achieve desired therapeutic drug concentrations more rapidly (see ). </w:t>
                  </w:r>
                </w:p>
                <w:p w14:paraId="2E3B40E2" w14:textId="77777777" w:rsidR="00556141" w:rsidRDefault="00556141">
                  <w:pPr>
                    <w:ind w:left="720"/>
                  </w:pPr>
                  <w:r>
                    <w:rPr>
                      <w:b/>
                      <w:bCs/>
                    </w:rPr>
                    <w:t>4.</w:t>
                  </w:r>
                  <w:r>
                    <w:t xml:space="preserve"> The volume of the plasma compartment, </w:t>
                  </w:r>
                  <w:r>
                    <w:rPr>
                      <w:i/>
                      <w:iCs/>
                    </w:rPr>
                    <w:t>V</w:t>
                  </w:r>
                  <w:r>
                    <w:t xml:space="preserve"> </w:t>
                  </w:r>
                  <w:r>
                    <w:rPr>
                      <w:vertAlign w:val="subscript"/>
                    </w:rPr>
                    <w:t>p</w:t>
                  </w:r>
                  <w:r>
                    <w:t xml:space="preserve">, is sometimes referred to as the initial volume. </w:t>
                  </w:r>
                </w:p>
                <w:p w14:paraId="3234E3DC" w14:textId="77777777" w:rsidR="00556141" w:rsidRDefault="00556141">
                  <w:pPr>
                    <w:ind w:left="720"/>
                  </w:pPr>
                  <w:r>
                    <w:rPr>
                      <w:b/>
                      <w:bCs/>
                    </w:rPr>
                    <w:t>5.</w:t>
                  </w:r>
                  <w:r>
                    <w:t xml:space="preserve"> Age and gender may affect the </w:t>
                  </w:r>
                  <w:r>
                    <w:rPr>
                      <w:i/>
                      <w:iCs/>
                    </w:rPr>
                    <w:t>C</w:t>
                  </w:r>
                  <w:r>
                    <w:t xml:space="preserve"> </w:t>
                  </w:r>
                  <w:r>
                    <w:rPr>
                      <w:vertAlign w:val="subscript"/>
                    </w:rPr>
                    <w:t>max</w:t>
                  </w:r>
                  <w:r>
                    <w:t xml:space="preserve"> level of the drug.</w:t>
                  </w:r>
                </w:p>
                <w:p w14:paraId="32164CE2" w14:textId="77777777" w:rsidR="00556141" w:rsidRDefault="00556141">
                  <w:pPr>
                    <w:pStyle w:val="contentbody"/>
                  </w:pPr>
                  <w:bookmarkStart w:id="240" w:name="2486227"/>
                  <w:bookmarkEnd w:id="240"/>
                  <w:r>
                    <w:rPr>
                      <w:b/>
                      <w:bCs/>
                    </w:rPr>
                    <w:t xml:space="preserve">Clinical Example: Etoposide </w:t>
                  </w:r>
                </w:p>
                <w:p w14:paraId="1C904B67" w14:textId="4805210A" w:rsidR="00556141" w:rsidRDefault="00556141">
                  <w:pPr>
                    <w:pStyle w:val="contentbody"/>
                  </w:pPr>
                  <w:bookmarkStart w:id="241" w:name="2486228"/>
                  <w:bookmarkEnd w:id="241"/>
                  <w:r>
                    <w:t>Etoposide is a drug used for the treatment of lung cancer. Understanding the distribution of etoposide in normal and metastatic tissues is important to avoid drug toxicity. Etoposide follows a two-compartment model. The (</w:t>
                  </w:r>
                  <w:r>
                    <w:rPr>
                      <w:i/>
                      <w:iCs/>
                    </w:rPr>
                    <w:t>V</w:t>
                  </w:r>
                  <w:r>
                    <w:t xml:space="preserve"> </w:t>
                  </w:r>
                  <w:r>
                    <w:rPr>
                      <w:vertAlign w:val="subscript"/>
                    </w:rPr>
                    <w:t>D</w:t>
                  </w:r>
                  <w:r>
                    <w:t>)</w:t>
                  </w:r>
                  <w:r>
                    <w:rPr>
                      <w:noProof/>
                      <w:vertAlign w:val="subscript"/>
                    </w:rPr>
                    <mc:AlternateContent>
                      <mc:Choice Requires="wps">
                        <w:drawing>
                          <wp:inline distT="0" distB="0" distL="0" distR="0" wp14:anchorId="6E0C8532" wp14:editId="0436DE91">
                            <wp:extent cx="304800" cy="304800"/>
                            <wp:effectExtent l="0" t="0" r="0" b="0"/>
                            <wp:docPr id="2007516591"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A26AE"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0.28 L/kg, and the beta elimination half-life is 12.9 hours. Total body clearance is 0.25 mL/min/kg.</w:t>
                  </w:r>
                </w:p>
                <w:p w14:paraId="66A964F7" w14:textId="77777777" w:rsidR="00556141" w:rsidRDefault="00556141">
                  <w:pPr>
                    <w:pStyle w:val="contentbody"/>
                  </w:pPr>
                  <w:bookmarkStart w:id="242" w:name="2486229"/>
                  <w:bookmarkEnd w:id="242"/>
                  <w:r>
                    <w:rPr>
                      <w:b/>
                      <w:bCs/>
                      <w:i/>
                      <w:iCs/>
                    </w:rPr>
                    <w:t>Questions</w:t>
                  </w:r>
                  <w:r>
                    <w:t xml:space="preserve"> </w:t>
                  </w:r>
                </w:p>
                <w:p w14:paraId="0B933A90" w14:textId="29AE466A" w:rsidR="00556141" w:rsidRDefault="00556141">
                  <w:pPr>
                    <w:ind w:left="720"/>
                  </w:pPr>
                  <w:r>
                    <w:rPr>
                      <w:b/>
                      <w:bCs/>
                    </w:rPr>
                    <w:t>1.</w:t>
                  </w:r>
                  <w:r>
                    <w:t xml:space="preserve"> What is the (</w:t>
                  </w:r>
                  <w:r>
                    <w:rPr>
                      <w:i/>
                      <w:iCs/>
                    </w:rPr>
                    <w:t>V</w:t>
                  </w:r>
                  <w:r>
                    <w:t xml:space="preserve"> </w:t>
                  </w:r>
                  <w:r>
                    <w:rPr>
                      <w:vertAlign w:val="subscript"/>
                    </w:rPr>
                    <w:t>D</w:t>
                  </w:r>
                  <w:r>
                    <w:t>)</w:t>
                  </w:r>
                  <w:r>
                    <w:rPr>
                      <w:noProof/>
                      <w:vertAlign w:val="subscript"/>
                    </w:rPr>
                    <mc:AlternateContent>
                      <mc:Choice Requires="wps">
                        <w:drawing>
                          <wp:inline distT="0" distB="0" distL="0" distR="0" wp14:anchorId="715EBFA1" wp14:editId="7466E00D">
                            <wp:extent cx="304800" cy="304800"/>
                            <wp:effectExtent l="0" t="0" r="0" b="0"/>
                            <wp:docPr id="1067276342"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9AFC7"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in a 70-kg subject? </w:t>
                  </w:r>
                </w:p>
                <w:p w14:paraId="2A3A7032" w14:textId="72E6D1DE" w:rsidR="00556141" w:rsidRDefault="00556141">
                  <w:pPr>
                    <w:ind w:left="720"/>
                  </w:pPr>
                  <w:r>
                    <w:rPr>
                      <w:b/>
                      <w:bCs/>
                    </w:rPr>
                    <w:t>2.</w:t>
                  </w:r>
                  <w:r>
                    <w:t xml:space="preserve"> How is the (</w:t>
                  </w:r>
                  <w:r>
                    <w:rPr>
                      <w:i/>
                      <w:iCs/>
                    </w:rPr>
                    <w:t>V</w:t>
                  </w:r>
                  <w:r>
                    <w:t xml:space="preserve"> </w:t>
                  </w:r>
                  <w:r>
                    <w:rPr>
                      <w:vertAlign w:val="subscript"/>
                    </w:rPr>
                    <w:t>D</w:t>
                  </w:r>
                  <w:r>
                    <w:t>)</w:t>
                  </w:r>
                  <w:r>
                    <w:rPr>
                      <w:noProof/>
                      <w:vertAlign w:val="subscript"/>
                    </w:rPr>
                    <mc:AlternateContent>
                      <mc:Choice Requires="wps">
                        <w:drawing>
                          <wp:inline distT="0" distB="0" distL="0" distR="0" wp14:anchorId="5AEA760D" wp14:editId="2CFCA230">
                            <wp:extent cx="304800" cy="304800"/>
                            <wp:effectExtent l="0" t="0" r="0" b="0"/>
                            <wp:docPr id="175583532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511C1"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different than the volume of the plasma fluid, </w:t>
                  </w:r>
                  <w:r>
                    <w:rPr>
                      <w:i/>
                      <w:iCs/>
                    </w:rPr>
                    <w:t>V</w:t>
                  </w:r>
                  <w:r>
                    <w:t xml:space="preserve"> </w:t>
                  </w:r>
                  <w:r>
                    <w:rPr>
                      <w:vertAlign w:val="subscript"/>
                    </w:rPr>
                    <w:t>p</w:t>
                  </w:r>
                  <w:r>
                    <w:t xml:space="preserve">? </w:t>
                  </w:r>
                </w:p>
                <w:p w14:paraId="1EEEE563" w14:textId="48F40D31" w:rsidR="00556141" w:rsidRDefault="00556141">
                  <w:pPr>
                    <w:ind w:left="720"/>
                  </w:pPr>
                  <w:r>
                    <w:rPr>
                      <w:b/>
                      <w:bCs/>
                    </w:rPr>
                    <w:t>3.</w:t>
                  </w:r>
                  <w:r>
                    <w:t xml:space="preserve"> Why is the (</w:t>
                  </w:r>
                  <w:r>
                    <w:rPr>
                      <w:i/>
                      <w:iCs/>
                    </w:rPr>
                    <w:t>V</w:t>
                  </w:r>
                  <w:r>
                    <w:t xml:space="preserve"> </w:t>
                  </w:r>
                  <w:r>
                    <w:rPr>
                      <w:vertAlign w:val="subscript"/>
                    </w:rPr>
                    <w:t>D</w:t>
                  </w:r>
                  <w:r>
                    <w:t>)</w:t>
                  </w:r>
                  <w:r>
                    <w:rPr>
                      <w:noProof/>
                      <w:vertAlign w:val="subscript"/>
                    </w:rPr>
                    <mc:AlternateContent>
                      <mc:Choice Requires="wps">
                        <w:drawing>
                          <wp:inline distT="0" distB="0" distL="0" distR="0" wp14:anchorId="6FBFC695" wp14:editId="10D14FEE">
                            <wp:extent cx="304800" cy="304800"/>
                            <wp:effectExtent l="0" t="0" r="0" b="0"/>
                            <wp:docPr id="685127072"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8F103" id="Rectangl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useful if it does not represent a real tissue volume? </w:t>
                  </w:r>
                </w:p>
                <w:p w14:paraId="4DE2DBC8" w14:textId="0AC2F603" w:rsidR="00556141" w:rsidRDefault="00556141">
                  <w:pPr>
                    <w:ind w:left="720"/>
                  </w:pPr>
                  <w:r>
                    <w:rPr>
                      <w:b/>
                      <w:bCs/>
                    </w:rPr>
                    <w:t>4.</w:t>
                  </w:r>
                  <w:r>
                    <w:t xml:space="preserve"> How is (</w:t>
                  </w:r>
                  <w:r>
                    <w:rPr>
                      <w:i/>
                      <w:iCs/>
                    </w:rPr>
                    <w:t>V</w:t>
                  </w:r>
                  <w:r>
                    <w:t xml:space="preserve"> </w:t>
                  </w:r>
                  <w:r>
                    <w:rPr>
                      <w:vertAlign w:val="subscript"/>
                    </w:rPr>
                    <w:t>D</w:t>
                  </w:r>
                  <w:r>
                    <w:t>)</w:t>
                  </w:r>
                  <w:r>
                    <w:rPr>
                      <w:noProof/>
                      <w:vertAlign w:val="subscript"/>
                    </w:rPr>
                    <mc:AlternateContent>
                      <mc:Choice Requires="wps">
                        <w:drawing>
                          <wp:inline distT="0" distB="0" distL="0" distR="0" wp14:anchorId="2B32379E" wp14:editId="5A9E6CDB">
                            <wp:extent cx="304800" cy="304800"/>
                            <wp:effectExtent l="0" t="0" r="0" b="0"/>
                            <wp:docPr id="1751875840"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2DB52"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calculated from plasma time–concentration profile data for etoposide? Is (</w:t>
                  </w:r>
                  <w:r>
                    <w:rPr>
                      <w:i/>
                      <w:iCs/>
                    </w:rPr>
                    <w:t>V</w:t>
                  </w:r>
                  <w:r>
                    <w:t xml:space="preserve"> </w:t>
                  </w:r>
                  <w:r>
                    <w:rPr>
                      <w:vertAlign w:val="subscript"/>
                    </w:rPr>
                    <w:t>D</w:t>
                  </w:r>
                  <w:r>
                    <w:t>)</w:t>
                  </w:r>
                  <w:r>
                    <w:rPr>
                      <w:noProof/>
                      <w:vertAlign w:val="subscript"/>
                    </w:rPr>
                    <mc:AlternateContent>
                      <mc:Choice Requires="wps">
                        <w:drawing>
                          <wp:inline distT="0" distB="0" distL="0" distR="0" wp14:anchorId="408C7B0B" wp14:editId="7EAF8816">
                            <wp:extent cx="304800" cy="304800"/>
                            <wp:effectExtent l="0" t="0" r="0" b="0"/>
                            <wp:docPr id="253723066"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2E1E6"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related to total body clearance?</w:t>
                  </w:r>
                </w:p>
                <w:p w14:paraId="1316792D" w14:textId="77777777" w:rsidR="00556141" w:rsidRDefault="00556141">
                  <w:pPr>
                    <w:pStyle w:val="contentbody"/>
                  </w:pPr>
                  <w:bookmarkStart w:id="243" w:name="2486230"/>
                  <w:bookmarkEnd w:id="243"/>
                  <w:r>
                    <w:rPr>
                      <w:b/>
                      <w:bCs/>
                      <w:i/>
                      <w:iCs/>
                    </w:rPr>
                    <w:t>Solutions</w:t>
                  </w:r>
                  <w:r>
                    <w:t xml:space="preserve"> </w:t>
                  </w:r>
                </w:p>
                <w:p w14:paraId="60336DF1" w14:textId="783F1D9C" w:rsidR="00556141" w:rsidRDefault="00556141">
                  <w:pPr>
                    <w:ind w:left="720"/>
                  </w:pPr>
                  <w:r>
                    <w:rPr>
                      <w:b/>
                      <w:bCs/>
                    </w:rPr>
                    <w:t>1.</w:t>
                  </w:r>
                  <w:r>
                    <w:t xml:space="preserve"> (</w:t>
                  </w:r>
                  <w:r>
                    <w:rPr>
                      <w:i/>
                      <w:iCs/>
                    </w:rPr>
                    <w:t>V</w:t>
                  </w:r>
                  <w:r>
                    <w:t xml:space="preserve"> </w:t>
                  </w:r>
                  <w:r>
                    <w:rPr>
                      <w:vertAlign w:val="subscript"/>
                    </w:rPr>
                    <w:t>D</w:t>
                  </w:r>
                  <w:r>
                    <w:t>)</w:t>
                  </w:r>
                  <w:r>
                    <w:rPr>
                      <w:noProof/>
                      <w:vertAlign w:val="subscript"/>
                    </w:rPr>
                    <mc:AlternateContent>
                      <mc:Choice Requires="wps">
                        <w:drawing>
                          <wp:inline distT="0" distB="0" distL="0" distR="0" wp14:anchorId="68593C3F" wp14:editId="2B9E7018">
                            <wp:extent cx="304800" cy="304800"/>
                            <wp:effectExtent l="0" t="0" r="0" b="0"/>
                            <wp:docPr id="590561609"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1A9E7"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of etoposide in a 70-kg subject is 0.28 L/kg </w:t>
                  </w:r>
                  <w:r>
                    <w:rPr>
                      <w:sz w:val="20"/>
                      <w:szCs w:val="20"/>
                    </w:rPr>
                    <w:t>x</w:t>
                  </w:r>
                  <w:r>
                    <w:t xml:space="preserve"> 70 kg = 19.6 L. </w:t>
                  </w:r>
                </w:p>
                <w:p w14:paraId="300D920A" w14:textId="25E583C8" w:rsidR="00556141" w:rsidRDefault="00556141">
                  <w:pPr>
                    <w:ind w:left="720"/>
                  </w:pPr>
                  <w:r>
                    <w:rPr>
                      <w:b/>
                      <w:bCs/>
                    </w:rPr>
                    <w:t>2.</w:t>
                  </w:r>
                  <w:r>
                    <w:t xml:space="preserve"> The plasma fluid volume is about 3 L in a 70-kg subject and is much smaller than (</w:t>
                  </w:r>
                  <w:r>
                    <w:rPr>
                      <w:i/>
                      <w:iCs/>
                    </w:rPr>
                    <w:t>V</w:t>
                  </w:r>
                  <w:r>
                    <w:t xml:space="preserve"> </w:t>
                  </w:r>
                  <w:r>
                    <w:rPr>
                      <w:vertAlign w:val="subscript"/>
                    </w:rPr>
                    <w:t>D</w:t>
                  </w:r>
                  <w:r>
                    <w:t>)</w:t>
                  </w:r>
                  <w:r>
                    <w:rPr>
                      <w:noProof/>
                      <w:vertAlign w:val="subscript"/>
                    </w:rPr>
                    <mc:AlternateContent>
                      <mc:Choice Requires="wps">
                        <w:drawing>
                          <wp:inline distT="0" distB="0" distL="0" distR="0" wp14:anchorId="42692244" wp14:editId="59E44986">
                            <wp:extent cx="304800" cy="304800"/>
                            <wp:effectExtent l="0" t="0" r="0" b="0"/>
                            <wp:docPr id="794757386"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BC9E1"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The apparent volume of distribution, (</w:t>
                  </w:r>
                  <w:r>
                    <w:rPr>
                      <w:i/>
                      <w:iCs/>
                    </w:rPr>
                    <w:t>V</w:t>
                  </w:r>
                  <w:r>
                    <w:t xml:space="preserve"> </w:t>
                  </w:r>
                  <w:r>
                    <w:rPr>
                      <w:vertAlign w:val="subscript"/>
                    </w:rPr>
                    <w:t>D</w:t>
                  </w:r>
                  <w:r>
                    <w:t>)</w:t>
                  </w:r>
                  <w:r>
                    <w:rPr>
                      <w:noProof/>
                      <w:vertAlign w:val="subscript"/>
                    </w:rPr>
                    <mc:AlternateContent>
                      <mc:Choice Requires="wps">
                        <w:drawing>
                          <wp:inline distT="0" distB="0" distL="0" distR="0" wp14:anchorId="56545B53" wp14:editId="71AAA329">
                            <wp:extent cx="304800" cy="304800"/>
                            <wp:effectExtent l="0" t="0" r="0" b="0"/>
                            <wp:docPr id="51845031"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4D117"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also considerably larger than the volume of the plasma compartment (also referred to as the initial volume by some clinicians), which includes some extracellular fluid. </w:t>
                  </w:r>
                </w:p>
                <w:p w14:paraId="13A85B28" w14:textId="77777777" w:rsidR="00556141" w:rsidRDefault="00556141">
                  <w:pPr>
                    <w:ind w:left="720"/>
                  </w:pPr>
                  <w:r>
                    <w:rPr>
                      <w:b/>
                      <w:bCs/>
                    </w:rPr>
                    <w:t>3.</w:t>
                  </w:r>
                  <w:r>
                    <w:t xml:space="preserve"> Etoposide is a drug that follows a two-compartment model with a beta elimination phase. Within the first few minutes after an intravenous bolus dose, most of the drug is distributed in the plasma fluid. Subsequently, the drug will diffuse into tissues and drug uptake may occur. Eventually, plasma drug levels will decline due to elimination, and some redistribution as etoposide in tissue diffuses back into the plasma fluid. </w:t>
                  </w:r>
                </w:p>
                <w:p w14:paraId="3CBDD8FC" w14:textId="6F159520" w:rsidR="00556141" w:rsidRDefault="00556141">
                  <w:pPr>
                    <w:ind w:left="720"/>
                  </w:pPr>
                  <w:r>
                    <w:t>The real tissue drug level will differ from the plasma drug concentration, depending on the partitioning of drug in tissues and plasma. This volume of distribution, (</w:t>
                  </w:r>
                  <w:r>
                    <w:rPr>
                      <w:i/>
                      <w:iCs/>
                    </w:rPr>
                    <w:t>V</w:t>
                  </w:r>
                  <w:r>
                    <w:t xml:space="preserve"> </w:t>
                  </w:r>
                  <w:r>
                    <w:rPr>
                      <w:vertAlign w:val="subscript"/>
                    </w:rPr>
                    <w:t>D</w:t>
                  </w:r>
                  <w:r>
                    <w:t>)</w:t>
                  </w:r>
                  <w:r>
                    <w:rPr>
                      <w:noProof/>
                      <w:vertAlign w:val="subscript"/>
                    </w:rPr>
                    <mc:AlternateContent>
                      <mc:Choice Requires="wps">
                        <w:drawing>
                          <wp:inline distT="0" distB="0" distL="0" distR="0" wp14:anchorId="7D406A12" wp14:editId="2F15B6E1">
                            <wp:extent cx="304800" cy="304800"/>
                            <wp:effectExtent l="0" t="0" r="0" b="0"/>
                            <wp:docPr id="997736942"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650C8"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allows the area under the curve to be calculated, an area that has been related to toxicities associated with many cancer chemotherapy agents. </w:t>
                  </w:r>
                </w:p>
                <w:p w14:paraId="5A3A1203" w14:textId="77777777" w:rsidR="00556141" w:rsidRDefault="00556141">
                  <w:pPr>
                    <w:ind w:left="720"/>
                  </w:pPr>
                  <w:r>
                    <w:lastRenderedPageBreak/>
                    <w:t xml:space="preserve">The two-compartment model allows continuous monitoring of the amount of the drug present in and out of the vascular system, including the amount of drug eliminated. This information is important in pharmacotherapy. </w:t>
                  </w:r>
                </w:p>
                <w:p w14:paraId="00D1EE76" w14:textId="3730682A" w:rsidR="00556141" w:rsidRDefault="00556141">
                  <w:pPr>
                    <w:ind w:left="720"/>
                  </w:pPr>
                  <w:r>
                    <w:rPr>
                      <w:b/>
                      <w:bCs/>
                    </w:rPr>
                    <w:t>4.</w:t>
                  </w:r>
                  <w:r>
                    <w:t xml:space="preserve"> (</w:t>
                  </w:r>
                  <w:r>
                    <w:rPr>
                      <w:i/>
                      <w:iCs/>
                    </w:rPr>
                    <w:t>V</w:t>
                  </w:r>
                  <w:r>
                    <w:t xml:space="preserve"> </w:t>
                  </w:r>
                  <w:r>
                    <w:rPr>
                      <w:vertAlign w:val="subscript"/>
                    </w:rPr>
                    <w:t>D</w:t>
                  </w:r>
                  <w:r>
                    <w:t>)</w:t>
                  </w:r>
                  <w:r>
                    <w:rPr>
                      <w:noProof/>
                      <w:vertAlign w:val="subscript"/>
                    </w:rPr>
                    <mc:AlternateContent>
                      <mc:Choice Requires="wps">
                        <w:drawing>
                          <wp:inline distT="0" distB="0" distL="0" distR="0" wp14:anchorId="2B323C76" wp14:editId="214A3718">
                            <wp:extent cx="304800" cy="304800"/>
                            <wp:effectExtent l="0" t="0" r="0" b="0"/>
                            <wp:docPr id="861217855"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C4E4D"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may be determined from the total drug clearance and beta: </w:t>
                  </w:r>
                </w:p>
                <w:p w14:paraId="10B5D187" w14:textId="74FAF763" w:rsidR="00556141" w:rsidRDefault="00556141">
                  <w:pPr>
                    <w:ind w:left="720"/>
                  </w:pPr>
                  <w:bookmarkStart w:id="244" w:name="2486345"/>
                  <w:bookmarkEnd w:id="244"/>
                  <w:r>
                    <w:rPr>
                      <w:noProof/>
                    </w:rPr>
                    <mc:AlternateContent>
                      <mc:Choice Requires="wps">
                        <w:drawing>
                          <wp:inline distT="0" distB="0" distL="0" distR="0" wp14:anchorId="41464186" wp14:editId="6B13E311">
                            <wp:extent cx="304800" cy="304800"/>
                            <wp:effectExtent l="0" t="0" r="0" b="0"/>
                            <wp:docPr id="1124965566"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86372"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33E569" w14:textId="21471EA6" w:rsidR="00556141" w:rsidRDefault="00556141">
                  <w:pPr>
                    <w:ind w:left="720"/>
                  </w:pPr>
                  <w:r>
                    <w:t>(</w:t>
                  </w:r>
                  <w:r>
                    <w:rPr>
                      <w:i/>
                      <w:iCs/>
                    </w:rPr>
                    <w:t>V</w:t>
                  </w:r>
                  <w:r>
                    <w:t xml:space="preserve"> </w:t>
                  </w:r>
                  <w:r>
                    <w:rPr>
                      <w:vertAlign w:val="subscript"/>
                    </w:rPr>
                    <w:t>D</w:t>
                  </w:r>
                  <w:r>
                    <w:t>)</w:t>
                  </w:r>
                  <w:r>
                    <w:rPr>
                      <w:noProof/>
                      <w:vertAlign w:val="subscript"/>
                    </w:rPr>
                    <mc:AlternateContent>
                      <mc:Choice Requires="wps">
                        <w:drawing>
                          <wp:inline distT="0" distB="0" distL="0" distR="0" wp14:anchorId="3F4C9689" wp14:editId="4C16C9C3">
                            <wp:extent cx="304800" cy="304800"/>
                            <wp:effectExtent l="0" t="0" r="0" b="0"/>
                            <wp:docPr id="487522375"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34693"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is also calculated from Equation 4.36 where </w:t>
                  </w:r>
                </w:p>
                <w:p w14:paraId="23F4C96C" w14:textId="3DE66B26" w:rsidR="00556141" w:rsidRDefault="00556141">
                  <w:pPr>
                    <w:ind w:left="720"/>
                  </w:pPr>
                  <w:bookmarkStart w:id="245" w:name="2486346"/>
                  <w:bookmarkEnd w:id="245"/>
                  <w:r>
                    <w:rPr>
                      <w:noProof/>
                    </w:rPr>
                    <mc:AlternateContent>
                      <mc:Choice Requires="wps">
                        <w:drawing>
                          <wp:inline distT="0" distB="0" distL="0" distR="0" wp14:anchorId="7837CBF9" wp14:editId="41002709">
                            <wp:extent cx="304800" cy="304800"/>
                            <wp:effectExtent l="0" t="0" r="0" b="0"/>
                            <wp:docPr id="1512607514"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740C6"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DFEF05" w14:textId="278F71E4" w:rsidR="00556141" w:rsidRDefault="00556141">
                  <w:pPr>
                    <w:ind w:left="720"/>
                  </w:pPr>
                  <w:r>
                    <w:t>This method for (</w:t>
                  </w:r>
                  <w:r>
                    <w:rPr>
                      <w:i/>
                      <w:iCs/>
                    </w:rPr>
                    <w:t>V</w:t>
                  </w:r>
                  <w:r>
                    <w:t xml:space="preserve"> </w:t>
                  </w:r>
                  <w:r>
                    <w:rPr>
                      <w:vertAlign w:val="subscript"/>
                    </w:rPr>
                    <w:t>D</w:t>
                  </w:r>
                  <w:r>
                    <w:t>)</w:t>
                  </w:r>
                  <w:r>
                    <w:rPr>
                      <w:noProof/>
                      <w:vertAlign w:val="subscript"/>
                    </w:rPr>
                    <mc:AlternateContent>
                      <mc:Choice Requires="wps">
                        <w:drawing>
                          <wp:inline distT="0" distB="0" distL="0" distR="0" wp14:anchorId="0F99173B" wp14:editId="09B6094D">
                            <wp:extent cx="304800" cy="304800"/>
                            <wp:effectExtent l="0" t="0" r="0" b="0"/>
                            <wp:docPr id="917564696"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6E7D4"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determination [AUC]</w:t>
                  </w:r>
                  <w:r>
                    <w:rPr>
                      <w:vertAlign w:val="superscript"/>
                    </w:rPr>
                    <w:t>∞</w:t>
                  </w:r>
                  <w:r>
                    <w:t xml:space="preserve"> </w:t>
                  </w:r>
                  <w:r>
                    <w:rPr>
                      <w:vertAlign w:val="subscript"/>
                    </w:rPr>
                    <w:t>0</w:t>
                  </w:r>
                  <w:r>
                    <w:t xml:space="preserve"> is popular because [AUC]</w:t>
                  </w:r>
                  <w:r>
                    <w:rPr>
                      <w:vertAlign w:val="superscript"/>
                    </w:rPr>
                    <w:t>∞</w:t>
                  </w:r>
                  <w:r>
                    <w:t xml:space="preserve"> </w:t>
                  </w:r>
                  <w:r>
                    <w:rPr>
                      <w:vertAlign w:val="subscript"/>
                    </w:rPr>
                    <w:t>0</w:t>
                  </w:r>
                  <w:r>
                    <w:t xml:space="preserve"> is easily calculated using the trapezoidal rule. Many values for apparent volumes of distribution reported in the clinical literature are obtained using the area equation. In general, both volume terms reflect extravascular drug distribution. (</w:t>
                  </w:r>
                  <w:r>
                    <w:rPr>
                      <w:i/>
                      <w:iCs/>
                    </w:rPr>
                    <w:t>V</w:t>
                  </w:r>
                  <w:r>
                    <w:t xml:space="preserve"> </w:t>
                  </w:r>
                  <w:r>
                    <w:rPr>
                      <w:vertAlign w:val="subscript"/>
                    </w:rPr>
                    <w:t>D</w:t>
                  </w:r>
                  <w:r>
                    <w:t>)</w:t>
                  </w:r>
                  <w:r>
                    <w:rPr>
                      <w:noProof/>
                      <w:vertAlign w:val="subscript"/>
                    </w:rPr>
                    <mc:AlternateContent>
                      <mc:Choice Requires="wps">
                        <w:drawing>
                          <wp:inline distT="0" distB="0" distL="0" distR="0" wp14:anchorId="7F1CEB00" wp14:editId="7EEA5953">
                            <wp:extent cx="304800" cy="304800"/>
                            <wp:effectExtent l="0" t="0" r="0" b="0"/>
                            <wp:docPr id="1615860945"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B7297"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appears to be affected by the dynamics of drug disposition in the beta phase. In clinical practice, many potent drugs are not injected by bolus dose. Instead, these drugs are infused over a short interval, making it difficult to obtain accurate information on the distributive phase. As a result, many drugs that follow a two-compartment model are approximated using a single compartment. It should be cautioned that there are substantial deviations in some cases. When in doubt, the full equation with all parameters should be applied for comparison. A small bolus (test) dose may be injected to obtain the necessary data if a therapeutic dose injected rapidly causes side effects or discomfort to the subject.</w:t>
                  </w:r>
                </w:p>
              </w:tc>
            </w:tr>
          </w:tbl>
          <w:p w14:paraId="424E2D1D" w14:textId="77777777" w:rsidR="00556141" w:rsidRDefault="00556141">
            <w:pPr>
              <w:rPr>
                <w:vanish/>
              </w:rPr>
            </w:pPr>
            <w:bookmarkStart w:id="246" w:name="2486231"/>
            <w:bookmarkEnd w:id="246"/>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3EA6BA90" w14:textId="77777777">
              <w:trPr>
                <w:tblCellSpacing w:w="0" w:type="dxa"/>
              </w:trPr>
              <w:tc>
                <w:tcPr>
                  <w:tcW w:w="0" w:type="auto"/>
                  <w:shd w:val="clear" w:color="auto" w:fill="FFFFFF"/>
                  <w:hideMark/>
                </w:tcPr>
                <w:p w14:paraId="4C25896D" w14:textId="77777777" w:rsidR="00556141" w:rsidRDefault="00556141">
                  <w:pPr>
                    <w:pStyle w:val="contenthead1"/>
                  </w:pPr>
                  <w:r>
                    <w:t>Frequently Asked Questions</w:t>
                  </w:r>
                </w:p>
                <w:p w14:paraId="5715F6E9" w14:textId="77777777" w:rsidR="00556141" w:rsidRDefault="00556141">
                  <w:pPr>
                    <w:ind w:left="720"/>
                  </w:pPr>
                  <w:r>
                    <w:rPr>
                      <w:b/>
                      <w:bCs/>
                    </w:rPr>
                    <w:t>1.</w:t>
                  </w:r>
                  <w:r>
                    <w:t xml:space="preserve"> My preceptors and I both agree that the "hypothetical" or "mathematical" compartment models are just about useless in helping me with dosing in the clinical setting. Does "hypothetical" mean "not real"? </w:t>
                  </w:r>
                </w:p>
                <w:p w14:paraId="00AE1A19" w14:textId="77777777" w:rsidR="00556141" w:rsidRDefault="00556141">
                  <w:pPr>
                    <w:ind w:left="720"/>
                  </w:pPr>
                  <w:r>
                    <w:rPr>
                      <w:b/>
                      <w:bCs/>
                    </w:rPr>
                    <w:t>2.</w:t>
                  </w:r>
                  <w:r>
                    <w:t xml:space="preserve"> What is the apparent volume of distribution, and why are there so many different volumes of distribution? </w:t>
                  </w:r>
                </w:p>
                <w:p w14:paraId="322BCF34" w14:textId="77777777" w:rsidR="00556141" w:rsidRDefault="00556141">
                  <w:pPr>
                    <w:ind w:left="720"/>
                  </w:pPr>
                  <w:r>
                    <w:rPr>
                      <w:b/>
                      <w:bCs/>
                    </w:rPr>
                    <w:t>3.</w:t>
                  </w:r>
                  <w:r>
                    <w:t xml:space="preserve"> If physiologic models are better than compartment models, why not just use physiologic models? </w:t>
                  </w:r>
                </w:p>
                <w:p w14:paraId="55B8D87B" w14:textId="77777777" w:rsidR="00556141" w:rsidRDefault="00556141">
                  <w:pPr>
                    <w:ind w:left="720"/>
                  </w:pPr>
                  <w:r>
                    <w:rPr>
                      <w:b/>
                      <w:bCs/>
                    </w:rPr>
                    <w:t>4.</w:t>
                  </w:r>
                  <w:r>
                    <w:t xml:space="preserve"> Can I just learn clearance and forget about the other pharmacokinetic parameters, because clearance is the term most often used in clinical pharmacy? </w:t>
                  </w:r>
                </w:p>
                <w:p w14:paraId="2F55BCD1" w14:textId="77777777" w:rsidR="00556141" w:rsidRDefault="00556141">
                  <w:pPr>
                    <w:ind w:left="720"/>
                  </w:pPr>
                  <w:r>
                    <w:rPr>
                      <w:b/>
                      <w:bCs/>
                    </w:rPr>
                    <w:t>5.</w:t>
                  </w:r>
                  <w:r>
                    <w:t xml:space="preserve"> What is the error if I assume a one-compartment model instead of a two-compartment or multicompartment model? </w:t>
                  </w:r>
                </w:p>
                <w:p w14:paraId="07395CB8" w14:textId="77777777" w:rsidR="00556141" w:rsidRDefault="00556141">
                  <w:pPr>
                    <w:ind w:left="720"/>
                  </w:pPr>
                  <w:r>
                    <w:rPr>
                      <w:b/>
                      <w:bCs/>
                    </w:rPr>
                    <w:t>6.</w:t>
                  </w:r>
                  <w:r>
                    <w:t xml:space="preserve"> What kind of improvement in terms of patient care or drug therapy was made using the compartment model?</w:t>
                  </w:r>
                </w:p>
              </w:tc>
              <w:bookmarkStart w:id="247" w:name="2486232"/>
              <w:bookmarkEnd w:id="247"/>
            </w:tr>
          </w:tbl>
          <w:p w14:paraId="1D4FF73D" w14:textId="77777777" w:rsidR="00556141" w:rsidRDefault="00556141">
            <w:pPr>
              <w:rPr>
                <w:vanish/>
              </w:rPr>
            </w:pPr>
            <w:bookmarkStart w:id="248" w:name="2486233"/>
            <w:bookmarkEnd w:id="248"/>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341ADC70" w14:textId="77777777">
              <w:trPr>
                <w:tblCellSpacing w:w="0" w:type="dxa"/>
              </w:trPr>
              <w:tc>
                <w:tcPr>
                  <w:tcW w:w="0" w:type="auto"/>
                  <w:shd w:val="clear" w:color="auto" w:fill="FFFFFF"/>
                  <w:hideMark/>
                </w:tcPr>
                <w:p w14:paraId="1FCC993B" w14:textId="77777777" w:rsidR="00556141" w:rsidRDefault="00556141">
                  <w:pPr>
                    <w:pStyle w:val="contenthead1"/>
                  </w:pPr>
                  <w:r>
                    <w:t>Learning Questions</w:t>
                  </w:r>
                </w:p>
                <w:p w14:paraId="071F3D83" w14:textId="77777777" w:rsidR="00556141" w:rsidRDefault="00556141">
                  <w:pPr>
                    <w:pStyle w:val="contentbody"/>
                  </w:pPr>
                  <w:bookmarkStart w:id="249" w:name="2486234"/>
                  <w:bookmarkEnd w:id="249"/>
                  <w:r>
                    <w:rPr>
                      <w:b/>
                      <w:bCs/>
                    </w:rPr>
                    <w:t>1.</w:t>
                  </w:r>
                  <w:r>
                    <w:t xml:space="preserve"> A drug was administered by rapid IV injection into a 70-kg adult male. Blood samples were withdrawn over a 7-hour period and assayed for intact drug. The results are tabulated below. Using the method of residuals, calculate the values for intercepts </w:t>
                  </w:r>
                  <w:r>
                    <w:rPr>
                      <w:i/>
                      <w:iCs/>
                    </w:rPr>
                    <w:t>A</w:t>
                  </w:r>
                  <w:r>
                    <w:t xml:space="preserve"> and </w:t>
                  </w:r>
                  <w:r>
                    <w:rPr>
                      <w:i/>
                      <w:iCs/>
                    </w:rPr>
                    <w:t>B</w:t>
                  </w:r>
                  <w:r>
                    <w:t xml:space="preserve"> and slopes </w:t>
                  </w:r>
                  <w:r>
                    <w:rPr>
                      <w:i/>
                      <w:iCs/>
                    </w:rPr>
                    <w:t>a</w:t>
                  </w:r>
                  <w:r>
                    <w:t xml:space="preserve">, </w:t>
                  </w:r>
                  <w:r>
                    <w:rPr>
                      <w:i/>
                      <w:iCs/>
                    </w:rPr>
                    <w:t>b</w:t>
                  </w:r>
                  <w:r>
                    <w:t xml:space="preserve">, </w:t>
                  </w:r>
                  <w:r>
                    <w:rPr>
                      <w:i/>
                      <w:iCs/>
                    </w:rPr>
                    <w:t>k</w:t>
                  </w:r>
                  <w:r>
                    <w:t xml:space="preserve">, </w:t>
                  </w:r>
                  <w:r>
                    <w:rPr>
                      <w:i/>
                      <w:iCs/>
                    </w:rPr>
                    <w:t>k</w:t>
                  </w:r>
                  <w:r>
                    <w:t xml:space="preserve"> </w:t>
                  </w:r>
                  <w:r>
                    <w:rPr>
                      <w:vertAlign w:val="subscript"/>
                    </w:rPr>
                    <w:t>12</w:t>
                  </w:r>
                  <w:r>
                    <w:t xml:space="preserve">, and </w:t>
                  </w:r>
                  <w:r>
                    <w:rPr>
                      <w:i/>
                      <w:iCs/>
                    </w:rPr>
                    <w:t>k</w:t>
                  </w:r>
                  <w:r>
                    <w:t xml:space="preserve"> </w:t>
                  </w:r>
                  <w:r>
                    <w:rPr>
                      <w:vertAlign w:val="subscript"/>
                    </w:rPr>
                    <w:t>21</w:t>
                  </w:r>
                  <w: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78"/>
                  </w:tblGrid>
                  <w:tr w:rsidR="00556141" w14:paraId="6830281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1567"/>
                          <w:gridCol w:w="1015"/>
                          <w:gridCol w:w="1574"/>
                        </w:tblGrid>
                        <w:tr w:rsidR="00556141" w14:paraId="5FC2D7C1" w14:textId="77777777">
                          <w:trPr>
                            <w:tblHeader/>
                            <w:tblCellSpacing w:w="7" w:type="dxa"/>
                          </w:trPr>
                          <w:tc>
                            <w:tcPr>
                              <w:tcW w:w="0" w:type="auto"/>
                              <w:shd w:val="clear" w:color="auto" w:fill="FFFFFF"/>
                              <w:hideMark/>
                            </w:tcPr>
                            <w:p w14:paraId="54876C3B" w14:textId="77777777" w:rsidR="00556141" w:rsidRDefault="00556141">
                              <w:pPr>
                                <w:rPr>
                                  <w:b/>
                                  <w:bCs/>
                                </w:rPr>
                              </w:pPr>
                              <w:r>
                                <w:rPr>
                                  <w:b/>
                                  <w:bCs/>
                                </w:rPr>
                                <w:t>Time (hr)</w:t>
                              </w:r>
                            </w:p>
                          </w:tc>
                          <w:tc>
                            <w:tcPr>
                              <w:tcW w:w="0" w:type="auto"/>
                              <w:shd w:val="clear" w:color="auto" w:fill="FFFFFF"/>
                              <w:hideMark/>
                            </w:tcPr>
                            <w:p w14:paraId="6A5002A0" w14:textId="1ED17BC4" w:rsidR="00556141" w:rsidRDefault="00556141">
                              <w:pPr>
                                <w:rPr>
                                  <w:b/>
                                  <w:bCs/>
                                </w:rPr>
                              </w:pPr>
                              <w:r>
                                <w:rPr>
                                  <w:b/>
                                  <w:bCs/>
                                  <w:i/>
                                  <w:iCs/>
                                </w:rPr>
                                <w:t>C</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13706486" wp14:editId="4855CE20">
                                        <wp:extent cx="304800" cy="304800"/>
                                        <wp:effectExtent l="0" t="0" r="0" b="0"/>
                                        <wp:docPr id="1756317829"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975AE"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r>
                                <w:rPr>
                                  <w:b/>
                                  <w:bCs/>
                                </w:rPr>
                                <w:br/>
                                <w:t> </w:t>
                              </w:r>
                            </w:p>
                          </w:tc>
                          <w:tc>
                            <w:tcPr>
                              <w:tcW w:w="0" w:type="auto"/>
                              <w:shd w:val="clear" w:color="auto" w:fill="FFFFFF"/>
                              <w:hideMark/>
                            </w:tcPr>
                            <w:p w14:paraId="1A81A33F" w14:textId="77777777" w:rsidR="00556141" w:rsidRDefault="00556141">
                              <w:pPr>
                                <w:rPr>
                                  <w:b/>
                                  <w:bCs/>
                                </w:rPr>
                              </w:pPr>
                              <w:r>
                                <w:rPr>
                                  <w:b/>
                                  <w:bCs/>
                                </w:rPr>
                                <w:t>Time (hr)</w:t>
                              </w:r>
                            </w:p>
                          </w:tc>
                          <w:tc>
                            <w:tcPr>
                              <w:tcW w:w="0" w:type="auto"/>
                              <w:shd w:val="clear" w:color="auto" w:fill="FFFFFF"/>
                              <w:hideMark/>
                            </w:tcPr>
                            <w:p w14:paraId="7A6069AC" w14:textId="27C19A56" w:rsidR="00556141" w:rsidRDefault="00556141">
                              <w:pPr>
                                <w:rPr>
                                  <w:b/>
                                  <w:bCs/>
                                </w:rPr>
                              </w:pPr>
                              <w:r>
                                <w:rPr>
                                  <w:b/>
                                  <w:bCs/>
                                  <w:i/>
                                  <w:iCs/>
                                </w:rPr>
                                <w:t>C</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59CD3687" wp14:editId="14374793">
                                        <wp:extent cx="304800" cy="304800"/>
                                        <wp:effectExtent l="0" t="0" r="0" b="0"/>
                                        <wp:docPr id="197342028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9D447"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r>
                                <w:rPr>
                                  <w:b/>
                                  <w:bCs/>
                                </w:rPr>
                                <w:br/>
                                <w:t> </w:t>
                              </w:r>
                            </w:p>
                          </w:tc>
                        </w:tr>
                        <w:tr w:rsidR="00556141" w14:paraId="57E4B933" w14:textId="77777777">
                          <w:trPr>
                            <w:tblCellSpacing w:w="7" w:type="dxa"/>
                          </w:trPr>
                          <w:tc>
                            <w:tcPr>
                              <w:tcW w:w="0" w:type="auto"/>
                              <w:shd w:val="clear" w:color="auto" w:fill="FFFFFF"/>
                              <w:hideMark/>
                            </w:tcPr>
                            <w:p w14:paraId="50DBF316" w14:textId="77777777" w:rsidR="00556141" w:rsidRDefault="00556141">
                              <w:r>
                                <w:t>0.00</w:t>
                              </w:r>
                            </w:p>
                          </w:tc>
                          <w:tc>
                            <w:tcPr>
                              <w:tcW w:w="0" w:type="auto"/>
                              <w:shd w:val="clear" w:color="auto" w:fill="FFFFFF"/>
                              <w:hideMark/>
                            </w:tcPr>
                            <w:p w14:paraId="21096305" w14:textId="77777777" w:rsidR="00556141" w:rsidRDefault="00556141">
                              <w:r>
                                <w:t>70.0</w:t>
                              </w:r>
                            </w:p>
                          </w:tc>
                          <w:tc>
                            <w:tcPr>
                              <w:tcW w:w="0" w:type="auto"/>
                              <w:shd w:val="clear" w:color="auto" w:fill="FFFFFF"/>
                              <w:hideMark/>
                            </w:tcPr>
                            <w:p w14:paraId="002869FF" w14:textId="77777777" w:rsidR="00556141" w:rsidRDefault="00556141">
                              <w:r>
                                <w:t>2.5</w:t>
                              </w:r>
                            </w:p>
                          </w:tc>
                          <w:tc>
                            <w:tcPr>
                              <w:tcW w:w="0" w:type="auto"/>
                              <w:shd w:val="clear" w:color="auto" w:fill="FFFFFF"/>
                              <w:hideMark/>
                            </w:tcPr>
                            <w:p w14:paraId="29771170" w14:textId="77777777" w:rsidR="00556141" w:rsidRDefault="00556141">
                              <w:r>
                                <w:t>14.3</w:t>
                              </w:r>
                            </w:p>
                          </w:tc>
                        </w:tr>
                        <w:tr w:rsidR="00556141" w14:paraId="3937479B" w14:textId="77777777">
                          <w:trPr>
                            <w:tblCellSpacing w:w="7" w:type="dxa"/>
                          </w:trPr>
                          <w:tc>
                            <w:tcPr>
                              <w:tcW w:w="0" w:type="auto"/>
                              <w:shd w:val="clear" w:color="auto" w:fill="FFFFFF"/>
                              <w:hideMark/>
                            </w:tcPr>
                            <w:p w14:paraId="7CA1B4A3" w14:textId="77777777" w:rsidR="00556141" w:rsidRDefault="00556141">
                              <w:r>
                                <w:t>0.25</w:t>
                              </w:r>
                            </w:p>
                          </w:tc>
                          <w:tc>
                            <w:tcPr>
                              <w:tcW w:w="0" w:type="auto"/>
                              <w:shd w:val="clear" w:color="auto" w:fill="FFFFFF"/>
                              <w:hideMark/>
                            </w:tcPr>
                            <w:p w14:paraId="629BCC9F" w14:textId="77777777" w:rsidR="00556141" w:rsidRDefault="00556141">
                              <w:r>
                                <w:t>53.8</w:t>
                              </w:r>
                            </w:p>
                          </w:tc>
                          <w:tc>
                            <w:tcPr>
                              <w:tcW w:w="0" w:type="auto"/>
                              <w:shd w:val="clear" w:color="auto" w:fill="FFFFFF"/>
                              <w:hideMark/>
                            </w:tcPr>
                            <w:p w14:paraId="0E05CFE6" w14:textId="77777777" w:rsidR="00556141" w:rsidRDefault="00556141">
                              <w:r>
                                <w:t>3.0</w:t>
                              </w:r>
                            </w:p>
                          </w:tc>
                          <w:tc>
                            <w:tcPr>
                              <w:tcW w:w="0" w:type="auto"/>
                              <w:shd w:val="clear" w:color="auto" w:fill="FFFFFF"/>
                              <w:hideMark/>
                            </w:tcPr>
                            <w:p w14:paraId="10055FC2" w14:textId="77777777" w:rsidR="00556141" w:rsidRDefault="00556141">
                              <w:r>
                                <w:t>12.6</w:t>
                              </w:r>
                            </w:p>
                          </w:tc>
                        </w:tr>
                        <w:tr w:rsidR="00556141" w14:paraId="61C4FAA7" w14:textId="77777777">
                          <w:trPr>
                            <w:tblCellSpacing w:w="7" w:type="dxa"/>
                          </w:trPr>
                          <w:tc>
                            <w:tcPr>
                              <w:tcW w:w="0" w:type="auto"/>
                              <w:shd w:val="clear" w:color="auto" w:fill="FFFFFF"/>
                              <w:hideMark/>
                            </w:tcPr>
                            <w:p w14:paraId="18C2CCA5" w14:textId="77777777" w:rsidR="00556141" w:rsidRDefault="00556141">
                              <w:r>
                                <w:t>0.50</w:t>
                              </w:r>
                            </w:p>
                          </w:tc>
                          <w:tc>
                            <w:tcPr>
                              <w:tcW w:w="0" w:type="auto"/>
                              <w:shd w:val="clear" w:color="auto" w:fill="FFFFFF"/>
                              <w:hideMark/>
                            </w:tcPr>
                            <w:p w14:paraId="0431866D" w14:textId="77777777" w:rsidR="00556141" w:rsidRDefault="00556141">
                              <w:r>
                                <w:t>43.3</w:t>
                              </w:r>
                            </w:p>
                          </w:tc>
                          <w:tc>
                            <w:tcPr>
                              <w:tcW w:w="0" w:type="auto"/>
                              <w:shd w:val="clear" w:color="auto" w:fill="FFFFFF"/>
                              <w:hideMark/>
                            </w:tcPr>
                            <w:p w14:paraId="7AFEA4B6" w14:textId="77777777" w:rsidR="00556141" w:rsidRDefault="00556141">
                              <w:r>
                                <w:t>4.0</w:t>
                              </w:r>
                            </w:p>
                          </w:tc>
                          <w:tc>
                            <w:tcPr>
                              <w:tcW w:w="0" w:type="auto"/>
                              <w:shd w:val="clear" w:color="auto" w:fill="FFFFFF"/>
                              <w:hideMark/>
                            </w:tcPr>
                            <w:p w14:paraId="1601E543" w14:textId="77777777" w:rsidR="00556141" w:rsidRDefault="00556141">
                              <w:r>
                                <w:t>10.5</w:t>
                              </w:r>
                            </w:p>
                          </w:tc>
                        </w:tr>
                        <w:tr w:rsidR="00556141" w14:paraId="1239D3B7" w14:textId="77777777">
                          <w:trPr>
                            <w:tblCellSpacing w:w="7" w:type="dxa"/>
                          </w:trPr>
                          <w:tc>
                            <w:tcPr>
                              <w:tcW w:w="0" w:type="auto"/>
                              <w:shd w:val="clear" w:color="auto" w:fill="FFFFFF"/>
                              <w:hideMark/>
                            </w:tcPr>
                            <w:p w14:paraId="5CD0C52A" w14:textId="77777777" w:rsidR="00556141" w:rsidRDefault="00556141">
                              <w:r>
                                <w:t>0.75</w:t>
                              </w:r>
                            </w:p>
                          </w:tc>
                          <w:tc>
                            <w:tcPr>
                              <w:tcW w:w="0" w:type="auto"/>
                              <w:shd w:val="clear" w:color="auto" w:fill="FFFFFF"/>
                              <w:hideMark/>
                            </w:tcPr>
                            <w:p w14:paraId="5028B6B2" w14:textId="77777777" w:rsidR="00556141" w:rsidRDefault="00556141">
                              <w:r>
                                <w:t>35.0</w:t>
                              </w:r>
                            </w:p>
                          </w:tc>
                          <w:tc>
                            <w:tcPr>
                              <w:tcW w:w="0" w:type="auto"/>
                              <w:shd w:val="clear" w:color="auto" w:fill="FFFFFF"/>
                              <w:hideMark/>
                            </w:tcPr>
                            <w:p w14:paraId="44F5ADB8" w14:textId="77777777" w:rsidR="00556141" w:rsidRDefault="00556141">
                              <w:r>
                                <w:t>5.0</w:t>
                              </w:r>
                            </w:p>
                          </w:tc>
                          <w:tc>
                            <w:tcPr>
                              <w:tcW w:w="0" w:type="auto"/>
                              <w:shd w:val="clear" w:color="auto" w:fill="FFFFFF"/>
                              <w:hideMark/>
                            </w:tcPr>
                            <w:p w14:paraId="20164AA1" w14:textId="77777777" w:rsidR="00556141" w:rsidRDefault="00556141">
                              <w:r>
                                <w:t>9.0</w:t>
                              </w:r>
                            </w:p>
                          </w:tc>
                        </w:tr>
                        <w:tr w:rsidR="00556141" w14:paraId="49E29087" w14:textId="77777777">
                          <w:trPr>
                            <w:tblCellSpacing w:w="7" w:type="dxa"/>
                          </w:trPr>
                          <w:tc>
                            <w:tcPr>
                              <w:tcW w:w="0" w:type="auto"/>
                              <w:shd w:val="clear" w:color="auto" w:fill="FFFFFF"/>
                              <w:hideMark/>
                            </w:tcPr>
                            <w:p w14:paraId="4F7BC30F" w14:textId="77777777" w:rsidR="00556141" w:rsidRDefault="00556141">
                              <w:r>
                                <w:t>1.00</w:t>
                              </w:r>
                            </w:p>
                          </w:tc>
                          <w:tc>
                            <w:tcPr>
                              <w:tcW w:w="0" w:type="auto"/>
                              <w:shd w:val="clear" w:color="auto" w:fill="FFFFFF"/>
                              <w:hideMark/>
                            </w:tcPr>
                            <w:p w14:paraId="59F6FD66" w14:textId="77777777" w:rsidR="00556141" w:rsidRDefault="00556141">
                              <w:r>
                                <w:t>29.1</w:t>
                              </w:r>
                            </w:p>
                          </w:tc>
                          <w:tc>
                            <w:tcPr>
                              <w:tcW w:w="0" w:type="auto"/>
                              <w:shd w:val="clear" w:color="auto" w:fill="FFFFFF"/>
                              <w:hideMark/>
                            </w:tcPr>
                            <w:p w14:paraId="736421EB" w14:textId="77777777" w:rsidR="00556141" w:rsidRDefault="00556141">
                              <w:r>
                                <w:t>6.0</w:t>
                              </w:r>
                            </w:p>
                          </w:tc>
                          <w:tc>
                            <w:tcPr>
                              <w:tcW w:w="0" w:type="auto"/>
                              <w:shd w:val="clear" w:color="auto" w:fill="FFFFFF"/>
                              <w:hideMark/>
                            </w:tcPr>
                            <w:p w14:paraId="63763BD7" w14:textId="77777777" w:rsidR="00556141" w:rsidRDefault="00556141">
                              <w:r>
                                <w:t>8.0</w:t>
                              </w:r>
                            </w:p>
                          </w:tc>
                        </w:tr>
                        <w:tr w:rsidR="00556141" w14:paraId="04516996" w14:textId="77777777">
                          <w:trPr>
                            <w:tblCellSpacing w:w="7" w:type="dxa"/>
                          </w:trPr>
                          <w:tc>
                            <w:tcPr>
                              <w:tcW w:w="0" w:type="auto"/>
                              <w:shd w:val="clear" w:color="auto" w:fill="FFFFFF"/>
                              <w:hideMark/>
                            </w:tcPr>
                            <w:p w14:paraId="13CF7AB0" w14:textId="77777777" w:rsidR="00556141" w:rsidRDefault="00556141">
                              <w:r>
                                <w:t>1.50</w:t>
                              </w:r>
                            </w:p>
                          </w:tc>
                          <w:tc>
                            <w:tcPr>
                              <w:tcW w:w="0" w:type="auto"/>
                              <w:shd w:val="clear" w:color="auto" w:fill="FFFFFF"/>
                              <w:hideMark/>
                            </w:tcPr>
                            <w:p w14:paraId="19A27E24" w14:textId="77777777" w:rsidR="00556141" w:rsidRDefault="00556141">
                              <w:r>
                                <w:t>21.2</w:t>
                              </w:r>
                            </w:p>
                          </w:tc>
                          <w:tc>
                            <w:tcPr>
                              <w:tcW w:w="0" w:type="auto"/>
                              <w:shd w:val="clear" w:color="auto" w:fill="FFFFFF"/>
                              <w:hideMark/>
                            </w:tcPr>
                            <w:p w14:paraId="09CDFA81" w14:textId="77777777" w:rsidR="00556141" w:rsidRDefault="00556141">
                              <w:r>
                                <w:t>7.0</w:t>
                              </w:r>
                            </w:p>
                          </w:tc>
                          <w:tc>
                            <w:tcPr>
                              <w:tcW w:w="0" w:type="auto"/>
                              <w:shd w:val="clear" w:color="auto" w:fill="FFFFFF"/>
                              <w:hideMark/>
                            </w:tcPr>
                            <w:p w14:paraId="3E0FEF05" w14:textId="77777777" w:rsidR="00556141" w:rsidRDefault="00556141">
                              <w:r>
                                <w:t>7.0</w:t>
                              </w:r>
                            </w:p>
                          </w:tc>
                        </w:tr>
                        <w:tr w:rsidR="00556141" w14:paraId="12583586" w14:textId="77777777">
                          <w:trPr>
                            <w:tblCellSpacing w:w="7" w:type="dxa"/>
                          </w:trPr>
                          <w:tc>
                            <w:tcPr>
                              <w:tcW w:w="0" w:type="auto"/>
                              <w:shd w:val="clear" w:color="auto" w:fill="FFFFFF"/>
                              <w:hideMark/>
                            </w:tcPr>
                            <w:p w14:paraId="424C6001" w14:textId="77777777" w:rsidR="00556141" w:rsidRDefault="00556141">
                              <w:r>
                                <w:t>2.00</w:t>
                              </w:r>
                            </w:p>
                          </w:tc>
                          <w:tc>
                            <w:tcPr>
                              <w:tcW w:w="0" w:type="auto"/>
                              <w:shd w:val="clear" w:color="auto" w:fill="FFFFFF"/>
                              <w:hideMark/>
                            </w:tcPr>
                            <w:p w14:paraId="070BEF44" w14:textId="77777777" w:rsidR="00556141" w:rsidRDefault="00556141">
                              <w:r>
                                <w:t>17.0</w:t>
                              </w:r>
                            </w:p>
                          </w:tc>
                          <w:tc>
                            <w:tcPr>
                              <w:tcW w:w="0" w:type="auto"/>
                              <w:shd w:val="clear" w:color="auto" w:fill="FFFFFF"/>
                              <w:hideMark/>
                            </w:tcPr>
                            <w:p w14:paraId="6FE6C291" w14:textId="77777777" w:rsidR="00556141" w:rsidRDefault="00556141">
                              <w:r>
                                <w:t> </w:t>
                              </w:r>
                            </w:p>
                          </w:tc>
                          <w:tc>
                            <w:tcPr>
                              <w:tcW w:w="0" w:type="auto"/>
                              <w:shd w:val="clear" w:color="auto" w:fill="FFFFFF"/>
                              <w:hideMark/>
                            </w:tcPr>
                            <w:p w14:paraId="02C31DBB" w14:textId="77777777" w:rsidR="00556141" w:rsidRDefault="00556141">
                              <w:r>
                                <w:t> </w:t>
                              </w:r>
                            </w:p>
                          </w:tc>
                        </w:tr>
                      </w:tbl>
                      <w:p w14:paraId="5D0A1E10" w14:textId="77777777" w:rsidR="00556141" w:rsidRDefault="00556141"/>
                    </w:tc>
                  </w:tr>
                  <w:tr w:rsidR="00556141" w14:paraId="411B0E63" w14:textId="77777777">
                    <w:trPr>
                      <w:tblCellSpacing w:w="0" w:type="dxa"/>
                    </w:trPr>
                    <w:tc>
                      <w:tcPr>
                        <w:tcW w:w="0" w:type="auto"/>
                        <w:shd w:val="clear" w:color="auto" w:fill="FFFFFF"/>
                        <w:vAlign w:val="center"/>
                        <w:hideMark/>
                      </w:tcPr>
                      <w:p w14:paraId="1A802513" w14:textId="77777777" w:rsidR="00556141" w:rsidRDefault="00556141">
                        <w:pPr>
                          <w:rPr>
                            <w:sz w:val="24"/>
                            <w:szCs w:val="24"/>
                          </w:rPr>
                        </w:pPr>
                      </w:p>
                    </w:tc>
                  </w:tr>
                </w:tbl>
                <w:p w14:paraId="4603C68E" w14:textId="77777777" w:rsidR="00556141" w:rsidRDefault="00556141">
                  <w:pPr>
                    <w:pStyle w:val="contentbody"/>
                  </w:pPr>
                  <w:bookmarkStart w:id="250" w:name="2486235"/>
                  <w:bookmarkEnd w:id="250"/>
                  <w:r>
                    <w:rPr>
                      <w:b/>
                      <w:bCs/>
                    </w:rPr>
                    <w:t>2.</w:t>
                  </w:r>
                  <w:r>
                    <w:t xml:space="preserve"> A 70-kg male subject was given 150 mg of a drug by IV injection. Blood samples were removed and assayed for intact drug. Calculate the slopes and intercepts of the three phases of the plasma level–time </w:t>
                  </w:r>
                  <w:r>
                    <w:lastRenderedPageBreak/>
                    <w:t>plot from the results tabulated below. Give the equation for the curve.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78"/>
                  </w:tblGrid>
                  <w:tr w:rsidR="00556141" w14:paraId="42F3E405"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1567"/>
                          <w:gridCol w:w="1015"/>
                          <w:gridCol w:w="1574"/>
                        </w:tblGrid>
                        <w:tr w:rsidR="00556141" w14:paraId="08200566" w14:textId="77777777">
                          <w:trPr>
                            <w:tblHeader/>
                            <w:tblCellSpacing w:w="7" w:type="dxa"/>
                          </w:trPr>
                          <w:tc>
                            <w:tcPr>
                              <w:tcW w:w="0" w:type="auto"/>
                              <w:shd w:val="clear" w:color="auto" w:fill="FFFFFF"/>
                              <w:hideMark/>
                            </w:tcPr>
                            <w:p w14:paraId="19E50038" w14:textId="77777777" w:rsidR="00556141" w:rsidRDefault="00556141">
                              <w:pPr>
                                <w:rPr>
                                  <w:b/>
                                  <w:bCs/>
                                </w:rPr>
                              </w:pPr>
                              <w:r>
                                <w:rPr>
                                  <w:b/>
                                  <w:bCs/>
                                </w:rPr>
                                <w:t>Time (hr)</w:t>
                              </w:r>
                            </w:p>
                          </w:tc>
                          <w:tc>
                            <w:tcPr>
                              <w:tcW w:w="0" w:type="auto"/>
                              <w:shd w:val="clear" w:color="auto" w:fill="FFFFFF"/>
                              <w:hideMark/>
                            </w:tcPr>
                            <w:p w14:paraId="01461487" w14:textId="68C7086D" w:rsidR="00556141" w:rsidRDefault="00556141">
                              <w:pPr>
                                <w:rPr>
                                  <w:b/>
                                  <w:bCs/>
                                </w:rPr>
                              </w:pPr>
                              <w:r>
                                <w:rPr>
                                  <w:b/>
                                  <w:bCs/>
                                  <w:i/>
                                  <w:iCs/>
                                </w:rPr>
                                <w:t>C</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30B1CEAF" wp14:editId="0C7111DD">
                                        <wp:extent cx="304800" cy="304800"/>
                                        <wp:effectExtent l="0" t="0" r="0" b="0"/>
                                        <wp:docPr id="42894355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FDA4A"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r>
                                <w:rPr>
                                  <w:b/>
                                  <w:bCs/>
                                </w:rPr>
                                <w:br/>
                                <w:t> </w:t>
                              </w:r>
                            </w:p>
                          </w:tc>
                          <w:tc>
                            <w:tcPr>
                              <w:tcW w:w="0" w:type="auto"/>
                              <w:shd w:val="clear" w:color="auto" w:fill="FFFFFF"/>
                              <w:hideMark/>
                            </w:tcPr>
                            <w:p w14:paraId="788E2AA6" w14:textId="77777777" w:rsidR="00556141" w:rsidRDefault="00556141">
                              <w:pPr>
                                <w:rPr>
                                  <w:b/>
                                  <w:bCs/>
                                </w:rPr>
                              </w:pPr>
                              <w:r>
                                <w:rPr>
                                  <w:b/>
                                  <w:bCs/>
                                </w:rPr>
                                <w:t>Time (hr)</w:t>
                              </w:r>
                            </w:p>
                          </w:tc>
                          <w:tc>
                            <w:tcPr>
                              <w:tcW w:w="0" w:type="auto"/>
                              <w:shd w:val="clear" w:color="auto" w:fill="FFFFFF"/>
                              <w:hideMark/>
                            </w:tcPr>
                            <w:p w14:paraId="01071793" w14:textId="556D3BC1" w:rsidR="00556141" w:rsidRDefault="00556141">
                              <w:pPr>
                                <w:rPr>
                                  <w:b/>
                                  <w:bCs/>
                                </w:rPr>
                              </w:pPr>
                              <w:r>
                                <w:rPr>
                                  <w:b/>
                                  <w:bCs/>
                                  <w:i/>
                                  <w:iCs/>
                                </w:rPr>
                                <w:t>C</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3052C9CB" wp14:editId="3CFD1DCE">
                                        <wp:extent cx="304800" cy="304800"/>
                                        <wp:effectExtent l="0" t="0" r="0" b="0"/>
                                        <wp:docPr id="629574752"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D95ED"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r>
                                <w:rPr>
                                  <w:b/>
                                  <w:bCs/>
                                </w:rPr>
                                <w:br/>
                                <w:t> </w:t>
                              </w:r>
                            </w:p>
                          </w:tc>
                        </w:tr>
                        <w:tr w:rsidR="00556141" w14:paraId="2C933EF6" w14:textId="77777777">
                          <w:trPr>
                            <w:tblCellSpacing w:w="7" w:type="dxa"/>
                          </w:trPr>
                          <w:tc>
                            <w:tcPr>
                              <w:tcW w:w="0" w:type="auto"/>
                              <w:shd w:val="clear" w:color="auto" w:fill="FFFFFF"/>
                              <w:hideMark/>
                            </w:tcPr>
                            <w:p w14:paraId="4F7BC6DD" w14:textId="77777777" w:rsidR="00556141" w:rsidRDefault="00556141">
                              <w:r>
                                <w:t>0.17</w:t>
                              </w:r>
                            </w:p>
                          </w:tc>
                          <w:tc>
                            <w:tcPr>
                              <w:tcW w:w="0" w:type="auto"/>
                              <w:shd w:val="clear" w:color="auto" w:fill="FFFFFF"/>
                              <w:hideMark/>
                            </w:tcPr>
                            <w:p w14:paraId="5A88E317" w14:textId="77777777" w:rsidR="00556141" w:rsidRDefault="00556141">
                              <w:r>
                                <w:t>36.2</w:t>
                              </w:r>
                            </w:p>
                          </w:tc>
                          <w:tc>
                            <w:tcPr>
                              <w:tcW w:w="0" w:type="auto"/>
                              <w:shd w:val="clear" w:color="auto" w:fill="FFFFFF"/>
                              <w:hideMark/>
                            </w:tcPr>
                            <w:p w14:paraId="507CC092" w14:textId="77777777" w:rsidR="00556141" w:rsidRDefault="00556141">
                              <w:r>
                                <w:t>3.0</w:t>
                              </w:r>
                            </w:p>
                          </w:tc>
                          <w:tc>
                            <w:tcPr>
                              <w:tcW w:w="0" w:type="auto"/>
                              <w:shd w:val="clear" w:color="auto" w:fill="FFFFFF"/>
                              <w:hideMark/>
                            </w:tcPr>
                            <w:p w14:paraId="5CF48B5C" w14:textId="77777777" w:rsidR="00556141" w:rsidRDefault="00556141">
                              <w:r>
                                <w:t>13.9</w:t>
                              </w:r>
                            </w:p>
                          </w:tc>
                        </w:tr>
                        <w:tr w:rsidR="00556141" w14:paraId="4C43FA59" w14:textId="77777777">
                          <w:trPr>
                            <w:tblCellSpacing w:w="7" w:type="dxa"/>
                          </w:trPr>
                          <w:tc>
                            <w:tcPr>
                              <w:tcW w:w="0" w:type="auto"/>
                              <w:shd w:val="clear" w:color="auto" w:fill="FFFFFF"/>
                              <w:hideMark/>
                            </w:tcPr>
                            <w:p w14:paraId="27E3247B" w14:textId="77777777" w:rsidR="00556141" w:rsidRDefault="00556141">
                              <w:r>
                                <w:t>0.33</w:t>
                              </w:r>
                            </w:p>
                          </w:tc>
                          <w:tc>
                            <w:tcPr>
                              <w:tcW w:w="0" w:type="auto"/>
                              <w:shd w:val="clear" w:color="auto" w:fill="FFFFFF"/>
                              <w:hideMark/>
                            </w:tcPr>
                            <w:p w14:paraId="4FFB569A" w14:textId="77777777" w:rsidR="00556141" w:rsidRDefault="00556141">
                              <w:r>
                                <w:t>34.0</w:t>
                              </w:r>
                            </w:p>
                          </w:tc>
                          <w:tc>
                            <w:tcPr>
                              <w:tcW w:w="0" w:type="auto"/>
                              <w:shd w:val="clear" w:color="auto" w:fill="FFFFFF"/>
                              <w:hideMark/>
                            </w:tcPr>
                            <w:p w14:paraId="78363C91" w14:textId="77777777" w:rsidR="00556141" w:rsidRDefault="00556141">
                              <w:r>
                                <w:t>4.0</w:t>
                              </w:r>
                            </w:p>
                          </w:tc>
                          <w:tc>
                            <w:tcPr>
                              <w:tcW w:w="0" w:type="auto"/>
                              <w:shd w:val="clear" w:color="auto" w:fill="FFFFFF"/>
                              <w:hideMark/>
                            </w:tcPr>
                            <w:p w14:paraId="53BE72B9" w14:textId="77777777" w:rsidR="00556141" w:rsidRDefault="00556141">
                              <w:r>
                                <w:t>12.0</w:t>
                              </w:r>
                            </w:p>
                          </w:tc>
                        </w:tr>
                        <w:tr w:rsidR="00556141" w14:paraId="41E8A07B" w14:textId="77777777">
                          <w:trPr>
                            <w:tblCellSpacing w:w="7" w:type="dxa"/>
                          </w:trPr>
                          <w:tc>
                            <w:tcPr>
                              <w:tcW w:w="0" w:type="auto"/>
                              <w:shd w:val="clear" w:color="auto" w:fill="FFFFFF"/>
                              <w:hideMark/>
                            </w:tcPr>
                            <w:p w14:paraId="66E80BAF" w14:textId="77777777" w:rsidR="00556141" w:rsidRDefault="00556141">
                              <w:r>
                                <w:t>0.50</w:t>
                              </w:r>
                            </w:p>
                          </w:tc>
                          <w:tc>
                            <w:tcPr>
                              <w:tcW w:w="0" w:type="auto"/>
                              <w:shd w:val="clear" w:color="auto" w:fill="FFFFFF"/>
                              <w:hideMark/>
                            </w:tcPr>
                            <w:p w14:paraId="6F15333B" w14:textId="77777777" w:rsidR="00556141" w:rsidRDefault="00556141">
                              <w:r>
                                <w:t>27.0</w:t>
                              </w:r>
                            </w:p>
                          </w:tc>
                          <w:tc>
                            <w:tcPr>
                              <w:tcW w:w="0" w:type="auto"/>
                              <w:shd w:val="clear" w:color="auto" w:fill="FFFFFF"/>
                              <w:hideMark/>
                            </w:tcPr>
                            <w:p w14:paraId="1B5B458A" w14:textId="77777777" w:rsidR="00556141" w:rsidRDefault="00556141">
                              <w:r>
                                <w:t>6.0</w:t>
                              </w:r>
                            </w:p>
                          </w:tc>
                          <w:tc>
                            <w:tcPr>
                              <w:tcW w:w="0" w:type="auto"/>
                              <w:shd w:val="clear" w:color="auto" w:fill="FFFFFF"/>
                              <w:hideMark/>
                            </w:tcPr>
                            <w:p w14:paraId="17877037" w14:textId="77777777" w:rsidR="00556141" w:rsidRDefault="00556141">
                              <w:r>
                                <w:t>8.7</w:t>
                              </w:r>
                            </w:p>
                          </w:tc>
                        </w:tr>
                        <w:tr w:rsidR="00556141" w14:paraId="7DA2D468" w14:textId="77777777">
                          <w:trPr>
                            <w:tblCellSpacing w:w="7" w:type="dxa"/>
                          </w:trPr>
                          <w:tc>
                            <w:tcPr>
                              <w:tcW w:w="0" w:type="auto"/>
                              <w:shd w:val="clear" w:color="auto" w:fill="FFFFFF"/>
                              <w:hideMark/>
                            </w:tcPr>
                            <w:p w14:paraId="146178DC" w14:textId="77777777" w:rsidR="00556141" w:rsidRDefault="00556141">
                              <w:r>
                                <w:t>0.67</w:t>
                              </w:r>
                            </w:p>
                          </w:tc>
                          <w:tc>
                            <w:tcPr>
                              <w:tcW w:w="0" w:type="auto"/>
                              <w:shd w:val="clear" w:color="auto" w:fill="FFFFFF"/>
                              <w:hideMark/>
                            </w:tcPr>
                            <w:p w14:paraId="7A665228" w14:textId="77777777" w:rsidR="00556141" w:rsidRDefault="00556141">
                              <w:r>
                                <w:t>23.0</w:t>
                              </w:r>
                            </w:p>
                          </w:tc>
                          <w:tc>
                            <w:tcPr>
                              <w:tcW w:w="0" w:type="auto"/>
                              <w:shd w:val="clear" w:color="auto" w:fill="FFFFFF"/>
                              <w:hideMark/>
                            </w:tcPr>
                            <w:p w14:paraId="426AB840" w14:textId="77777777" w:rsidR="00556141" w:rsidRDefault="00556141">
                              <w:r>
                                <w:t>7.0</w:t>
                              </w:r>
                            </w:p>
                          </w:tc>
                          <w:tc>
                            <w:tcPr>
                              <w:tcW w:w="0" w:type="auto"/>
                              <w:shd w:val="clear" w:color="auto" w:fill="FFFFFF"/>
                              <w:hideMark/>
                            </w:tcPr>
                            <w:p w14:paraId="132B4280" w14:textId="77777777" w:rsidR="00556141" w:rsidRDefault="00556141">
                              <w:r>
                                <w:t>7.7</w:t>
                              </w:r>
                            </w:p>
                          </w:tc>
                        </w:tr>
                        <w:tr w:rsidR="00556141" w14:paraId="378D1E1A" w14:textId="77777777">
                          <w:trPr>
                            <w:tblCellSpacing w:w="7" w:type="dxa"/>
                          </w:trPr>
                          <w:tc>
                            <w:tcPr>
                              <w:tcW w:w="0" w:type="auto"/>
                              <w:shd w:val="clear" w:color="auto" w:fill="FFFFFF"/>
                              <w:hideMark/>
                            </w:tcPr>
                            <w:p w14:paraId="6ABB848D" w14:textId="77777777" w:rsidR="00556141" w:rsidRDefault="00556141">
                              <w:r>
                                <w:t>1.00</w:t>
                              </w:r>
                            </w:p>
                          </w:tc>
                          <w:tc>
                            <w:tcPr>
                              <w:tcW w:w="0" w:type="auto"/>
                              <w:shd w:val="clear" w:color="auto" w:fill="FFFFFF"/>
                              <w:hideMark/>
                            </w:tcPr>
                            <w:p w14:paraId="36D90F48" w14:textId="77777777" w:rsidR="00556141" w:rsidRDefault="00556141">
                              <w:r>
                                <w:t>20.8</w:t>
                              </w:r>
                            </w:p>
                          </w:tc>
                          <w:tc>
                            <w:tcPr>
                              <w:tcW w:w="0" w:type="auto"/>
                              <w:shd w:val="clear" w:color="auto" w:fill="FFFFFF"/>
                              <w:hideMark/>
                            </w:tcPr>
                            <w:p w14:paraId="402C12E0" w14:textId="77777777" w:rsidR="00556141" w:rsidRDefault="00556141">
                              <w:r>
                                <w:t>18.0</w:t>
                              </w:r>
                            </w:p>
                          </w:tc>
                          <w:tc>
                            <w:tcPr>
                              <w:tcW w:w="0" w:type="auto"/>
                              <w:shd w:val="clear" w:color="auto" w:fill="FFFFFF"/>
                              <w:hideMark/>
                            </w:tcPr>
                            <w:p w14:paraId="75DCED6B" w14:textId="77777777" w:rsidR="00556141" w:rsidRDefault="00556141">
                              <w:r>
                                <w:t>3.2</w:t>
                              </w:r>
                            </w:p>
                          </w:tc>
                        </w:tr>
                        <w:tr w:rsidR="00556141" w14:paraId="7C0A494A" w14:textId="77777777">
                          <w:trPr>
                            <w:tblCellSpacing w:w="7" w:type="dxa"/>
                          </w:trPr>
                          <w:tc>
                            <w:tcPr>
                              <w:tcW w:w="0" w:type="auto"/>
                              <w:shd w:val="clear" w:color="auto" w:fill="FFFFFF"/>
                              <w:hideMark/>
                            </w:tcPr>
                            <w:p w14:paraId="3BC8AB94" w14:textId="77777777" w:rsidR="00556141" w:rsidRDefault="00556141">
                              <w:r>
                                <w:t>1.50</w:t>
                              </w:r>
                            </w:p>
                          </w:tc>
                          <w:tc>
                            <w:tcPr>
                              <w:tcW w:w="0" w:type="auto"/>
                              <w:shd w:val="clear" w:color="auto" w:fill="FFFFFF"/>
                              <w:hideMark/>
                            </w:tcPr>
                            <w:p w14:paraId="1C6B2855" w14:textId="77777777" w:rsidR="00556141" w:rsidRDefault="00556141">
                              <w:r>
                                <w:t>17.8</w:t>
                              </w:r>
                            </w:p>
                          </w:tc>
                          <w:tc>
                            <w:tcPr>
                              <w:tcW w:w="0" w:type="auto"/>
                              <w:shd w:val="clear" w:color="auto" w:fill="FFFFFF"/>
                              <w:hideMark/>
                            </w:tcPr>
                            <w:p w14:paraId="55F6F701" w14:textId="77777777" w:rsidR="00556141" w:rsidRDefault="00556141">
                              <w:r>
                                <w:t>23.0</w:t>
                              </w:r>
                            </w:p>
                          </w:tc>
                          <w:tc>
                            <w:tcPr>
                              <w:tcW w:w="0" w:type="auto"/>
                              <w:shd w:val="clear" w:color="auto" w:fill="FFFFFF"/>
                              <w:hideMark/>
                            </w:tcPr>
                            <w:p w14:paraId="7E6ECF0E" w14:textId="77777777" w:rsidR="00556141" w:rsidRDefault="00556141">
                              <w:r>
                                <w:t>2.4</w:t>
                              </w:r>
                            </w:p>
                          </w:tc>
                        </w:tr>
                        <w:tr w:rsidR="00556141" w14:paraId="212F6092" w14:textId="77777777">
                          <w:trPr>
                            <w:tblCellSpacing w:w="7" w:type="dxa"/>
                          </w:trPr>
                          <w:tc>
                            <w:tcPr>
                              <w:tcW w:w="0" w:type="auto"/>
                              <w:shd w:val="clear" w:color="auto" w:fill="FFFFFF"/>
                              <w:hideMark/>
                            </w:tcPr>
                            <w:p w14:paraId="31AA89CE" w14:textId="77777777" w:rsidR="00556141" w:rsidRDefault="00556141">
                              <w:r>
                                <w:t>2.00</w:t>
                              </w:r>
                            </w:p>
                          </w:tc>
                          <w:tc>
                            <w:tcPr>
                              <w:tcW w:w="0" w:type="auto"/>
                              <w:shd w:val="clear" w:color="auto" w:fill="FFFFFF"/>
                              <w:hideMark/>
                            </w:tcPr>
                            <w:p w14:paraId="7675694B" w14:textId="77777777" w:rsidR="00556141" w:rsidRDefault="00556141">
                              <w:r>
                                <w:t>16.5</w:t>
                              </w:r>
                            </w:p>
                          </w:tc>
                          <w:tc>
                            <w:tcPr>
                              <w:tcW w:w="0" w:type="auto"/>
                              <w:shd w:val="clear" w:color="auto" w:fill="FFFFFF"/>
                              <w:hideMark/>
                            </w:tcPr>
                            <w:p w14:paraId="11554AB3" w14:textId="77777777" w:rsidR="00556141" w:rsidRDefault="00556141">
                              <w:r>
                                <w:t> </w:t>
                              </w:r>
                            </w:p>
                          </w:tc>
                          <w:tc>
                            <w:tcPr>
                              <w:tcW w:w="0" w:type="auto"/>
                              <w:shd w:val="clear" w:color="auto" w:fill="FFFFFF"/>
                              <w:hideMark/>
                            </w:tcPr>
                            <w:p w14:paraId="101F7099" w14:textId="77777777" w:rsidR="00556141" w:rsidRDefault="00556141">
                              <w:r>
                                <w:t> </w:t>
                              </w:r>
                            </w:p>
                          </w:tc>
                        </w:tr>
                      </w:tbl>
                      <w:p w14:paraId="3198835A" w14:textId="77777777" w:rsidR="00556141" w:rsidRDefault="00556141"/>
                    </w:tc>
                  </w:tr>
                  <w:tr w:rsidR="00556141" w14:paraId="2F00AA54" w14:textId="77777777">
                    <w:trPr>
                      <w:tblCellSpacing w:w="0" w:type="dxa"/>
                    </w:trPr>
                    <w:tc>
                      <w:tcPr>
                        <w:tcW w:w="0" w:type="auto"/>
                        <w:shd w:val="clear" w:color="auto" w:fill="FFFFFF"/>
                        <w:vAlign w:val="center"/>
                        <w:hideMark/>
                      </w:tcPr>
                      <w:p w14:paraId="217F62DE" w14:textId="77777777" w:rsidR="00556141" w:rsidRDefault="00556141">
                        <w:pPr>
                          <w:rPr>
                            <w:sz w:val="24"/>
                            <w:szCs w:val="24"/>
                          </w:rPr>
                        </w:pPr>
                      </w:p>
                    </w:tc>
                  </w:tr>
                </w:tbl>
                <w:p w14:paraId="47931D86" w14:textId="77777777" w:rsidR="00556141" w:rsidRDefault="00556141">
                  <w:pPr>
                    <w:pStyle w:val="contentbody"/>
                  </w:pPr>
                  <w:bookmarkStart w:id="251" w:name="2486236"/>
                  <w:bookmarkEnd w:id="251"/>
                  <w:r>
                    <w:rPr>
                      <w:b/>
                      <w:bCs/>
                    </w:rPr>
                    <w:t>3.</w:t>
                  </w:r>
                  <w:r>
                    <w:t xml:space="preserve"> demonstrated that theophylline followed a two-compartment pharmacokinetic model in human subjects. After administering a single intravenous dose (5.6 mg/kg) in nine normal volunteers, these investigators demonstrated that the equation best describing theophylline kinetics in humans was as follows:</w:t>
                  </w:r>
                </w:p>
                <w:p w14:paraId="71E082AE" w14:textId="5D6FBE17" w:rsidR="00556141" w:rsidRDefault="00556141">
                  <w:pPr>
                    <w:pStyle w:val="contentbody"/>
                  </w:pPr>
                  <w:bookmarkStart w:id="252" w:name="2486347"/>
                  <w:bookmarkStart w:id="253" w:name="2486237"/>
                  <w:bookmarkEnd w:id="252"/>
                  <w:bookmarkEnd w:id="253"/>
                  <w:r>
                    <w:rPr>
                      <w:noProof/>
                    </w:rPr>
                    <mc:AlternateContent>
                      <mc:Choice Requires="wps">
                        <w:drawing>
                          <wp:inline distT="0" distB="0" distL="0" distR="0" wp14:anchorId="73144FC1" wp14:editId="195B44EC">
                            <wp:extent cx="304800" cy="304800"/>
                            <wp:effectExtent l="0" t="0" r="0" b="0"/>
                            <wp:docPr id="2084549543"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BF1CD"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D0247B8" w14:textId="77777777" w:rsidR="00556141" w:rsidRDefault="00556141">
                  <w:pPr>
                    <w:pStyle w:val="contentbody"/>
                  </w:pPr>
                  <w:bookmarkStart w:id="254" w:name="2486238"/>
                  <w:bookmarkEnd w:id="254"/>
                  <w:r>
                    <w:t>What is the plasma level of the drug 3 hours after the IV dose?</w:t>
                  </w:r>
                </w:p>
                <w:p w14:paraId="6B863715" w14:textId="77777777" w:rsidR="00556141" w:rsidRDefault="00556141">
                  <w:pPr>
                    <w:pStyle w:val="contentbody"/>
                  </w:pPr>
                  <w:bookmarkStart w:id="255" w:name="2486239"/>
                  <w:bookmarkEnd w:id="255"/>
                  <w:r>
                    <w:rPr>
                      <w:b/>
                      <w:bCs/>
                    </w:rPr>
                    <w:t>4.</w:t>
                  </w:r>
                  <w:r>
                    <w:t xml:space="preserve"> A drug has a distribution that can be described by a two-compartment open model. If the drug is given by IV bolus, what is the cause of the initial or rapid decline in blood levels (</w:t>
                  </w:r>
                  <w:r>
                    <w:rPr>
                      <w:i/>
                      <w:iCs/>
                    </w:rPr>
                    <w:t>a</w:t>
                  </w:r>
                  <w:r>
                    <w:t xml:space="preserve"> phase)? What is the cause of the slower decline in blood levels (</w:t>
                  </w:r>
                  <w:r>
                    <w:rPr>
                      <w:i/>
                      <w:iCs/>
                    </w:rPr>
                    <w:t>b</w:t>
                  </w:r>
                  <w:r>
                    <w:t xml:space="preserve"> phase)?</w:t>
                  </w:r>
                </w:p>
                <w:p w14:paraId="16FC0749" w14:textId="77777777" w:rsidR="00556141" w:rsidRDefault="00556141">
                  <w:pPr>
                    <w:pStyle w:val="contentbody"/>
                  </w:pPr>
                  <w:bookmarkStart w:id="256" w:name="2486240"/>
                  <w:bookmarkEnd w:id="256"/>
                  <w:r>
                    <w:rPr>
                      <w:b/>
                      <w:bCs/>
                    </w:rPr>
                    <w:t>5.</w:t>
                  </w:r>
                  <w:r>
                    <w:t xml:space="preserve"> What does it mean when a drug demonstrates a plasma level–time curve that indicates a three-compartment open model? Can this curve be described by a two-compartment model?</w:t>
                  </w:r>
                </w:p>
                <w:p w14:paraId="5DB0294D" w14:textId="77777777" w:rsidR="00556141" w:rsidRDefault="00556141">
                  <w:pPr>
                    <w:pStyle w:val="contentbody"/>
                  </w:pPr>
                  <w:bookmarkStart w:id="257" w:name="2486241"/>
                  <w:bookmarkEnd w:id="257"/>
                  <w:r>
                    <w:rPr>
                      <w:b/>
                      <w:bCs/>
                    </w:rPr>
                    <w:t>6.</w:t>
                  </w:r>
                  <w:r>
                    <w:t xml:space="preserve"> A drug that follows a multicompartment pharmacokinetic model is given to a patient by rapid intravenous injection. Would the drug concentration in each tissue be the same after the drug equilibrates with the plasma and all the tissues in the body? Explain.</w:t>
                  </w:r>
                </w:p>
                <w:p w14:paraId="4A2D4823" w14:textId="77777777" w:rsidR="00556141" w:rsidRDefault="00556141">
                  <w:pPr>
                    <w:pStyle w:val="contentbody"/>
                  </w:pPr>
                  <w:bookmarkStart w:id="258" w:name="2486242"/>
                  <w:bookmarkEnd w:id="258"/>
                  <w:r>
                    <w:rPr>
                      <w:b/>
                      <w:bCs/>
                    </w:rPr>
                    <w:t>7.</w:t>
                  </w:r>
                  <w:r>
                    <w:t xml:space="preserve"> studied the pharmacokinetics of amrinone after a single IV bolus injection (75 mg) in 14 healthy adult male volunteers. The pharmacokinetics of this drug followed a two-compartment open model and fit the following equation:</w:t>
                  </w:r>
                </w:p>
                <w:p w14:paraId="46354666" w14:textId="1E126DFE" w:rsidR="00556141" w:rsidRDefault="00556141">
                  <w:pPr>
                    <w:pStyle w:val="contentbody"/>
                  </w:pPr>
                  <w:bookmarkStart w:id="259" w:name="2486348"/>
                  <w:bookmarkStart w:id="260" w:name="2486243"/>
                  <w:bookmarkEnd w:id="259"/>
                  <w:bookmarkEnd w:id="260"/>
                  <w:r>
                    <w:rPr>
                      <w:noProof/>
                    </w:rPr>
                    <mc:AlternateContent>
                      <mc:Choice Requires="wps">
                        <w:drawing>
                          <wp:inline distT="0" distB="0" distL="0" distR="0" wp14:anchorId="6D44853D" wp14:editId="5E131B7D">
                            <wp:extent cx="304800" cy="304800"/>
                            <wp:effectExtent l="0" t="0" r="0" b="0"/>
                            <wp:docPr id="19211263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3938D"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DA8F2D" w14:textId="77777777" w:rsidR="00556141" w:rsidRDefault="00556141">
                  <w:pPr>
                    <w:pStyle w:val="contentbody"/>
                  </w:pPr>
                  <w:bookmarkStart w:id="261" w:name="2486244"/>
                  <w:bookmarkEnd w:id="261"/>
                  <w:r>
                    <w:t>where</w:t>
                  </w:r>
                </w:p>
                <w:p w14:paraId="4FB355D6" w14:textId="62CEA71D" w:rsidR="00556141" w:rsidRDefault="00556141">
                  <w:pPr>
                    <w:pStyle w:val="contentbody"/>
                  </w:pPr>
                  <w:bookmarkStart w:id="262" w:name="2486245"/>
                  <w:bookmarkEnd w:id="262"/>
                  <w:r>
                    <w:rPr>
                      <w:i/>
                      <w:iCs/>
                    </w:rPr>
                    <w:t>A</w:t>
                  </w:r>
                  <w:r>
                    <w:t xml:space="preserve"> = 4.62 ± 12.0 </w:t>
                  </w:r>
                  <w:r>
                    <w:rPr>
                      <w:noProof/>
                    </w:rPr>
                    <mc:AlternateContent>
                      <mc:Choice Requires="wps">
                        <w:drawing>
                          <wp:inline distT="0" distB="0" distL="0" distR="0" wp14:anchorId="78B8652D" wp14:editId="0E6F66FD">
                            <wp:extent cx="304800" cy="304800"/>
                            <wp:effectExtent l="0" t="0" r="0" b="0"/>
                            <wp:docPr id="1202299827"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1BE4A"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g/mL</w:t>
                  </w:r>
                </w:p>
                <w:p w14:paraId="2DF0DE31" w14:textId="7C1E517F" w:rsidR="00556141" w:rsidRDefault="00556141">
                  <w:pPr>
                    <w:pStyle w:val="contentbody"/>
                  </w:pPr>
                  <w:bookmarkStart w:id="263" w:name="2486246"/>
                  <w:bookmarkEnd w:id="263"/>
                  <w:r>
                    <w:rPr>
                      <w:i/>
                      <w:iCs/>
                    </w:rPr>
                    <w:t>B</w:t>
                  </w:r>
                  <w:r>
                    <w:t xml:space="preserve"> = 0.64 ± 0.17 </w:t>
                  </w:r>
                  <w:r>
                    <w:rPr>
                      <w:noProof/>
                    </w:rPr>
                    <mc:AlternateContent>
                      <mc:Choice Requires="wps">
                        <w:drawing>
                          <wp:inline distT="0" distB="0" distL="0" distR="0" wp14:anchorId="550E5E77" wp14:editId="083BE073">
                            <wp:extent cx="304800" cy="304800"/>
                            <wp:effectExtent l="0" t="0" r="0" b="0"/>
                            <wp:docPr id="206703474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390F7"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g/mL</w:t>
                  </w:r>
                </w:p>
                <w:p w14:paraId="0C88C36A" w14:textId="77777777" w:rsidR="00556141" w:rsidRDefault="00556141">
                  <w:pPr>
                    <w:pStyle w:val="contentbody"/>
                  </w:pPr>
                  <w:bookmarkStart w:id="264" w:name="2486247"/>
                  <w:bookmarkEnd w:id="264"/>
                  <w:r>
                    <w:rPr>
                      <w:i/>
                      <w:iCs/>
                    </w:rPr>
                    <w:t>a</w:t>
                  </w:r>
                  <w:r>
                    <w:t xml:space="preserve"> = 8.94 ± 13 hr</w:t>
                  </w:r>
                  <w:r>
                    <w:rPr>
                      <w:vertAlign w:val="superscript"/>
                    </w:rPr>
                    <w:t>–1</w:t>
                  </w:r>
                  <w:r>
                    <w:t xml:space="preserve"> </w:t>
                  </w:r>
                </w:p>
                <w:p w14:paraId="75BD632A" w14:textId="77777777" w:rsidR="00556141" w:rsidRDefault="00556141">
                  <w:pPr>
                    <w:pStyle w:val="contentbody"/>
                  </w:pPr>
                  <w:bookmarkStart w:id="265" w:name="2486248"/>
                  <w:bookmarkEnd w:id="265"/>
                  <w:r>
                    <w:rPr>
                      <w:i/>
                      <w:iCs/>
                    </w:rPr>
                    <w:t>b</w:t>
                  </w:r>
                  <w:r>
                    <w:t xml:space="preserve"> = 0.19 ± 0.06 hr</w:t>
                  </w:r>
                  <w:r>
                    <w:rPr>
                      <w:vertAlign w:val="superscript"/>
                    </w:rPr>
                    <w:t>–1</w:t>
                  </w:r>
                  <w:r>
                    <w:t xml:space="preserve"> </w:t>
                  </w:r>
                </w:p>
                <w:p w14:paraId="7D924228" w14:textId="77777777" w:rsidR="00556141" w:rsidRDefault="00556141">
                  <w:pPr>
                    <w:pStyle w:val="contentbody"/>
                  </w:pPr>
                  <w:bookmarkStart w:id="266" w:name="2486249"/>
                  <w:bookmarkEnd w:id="266"/>
                  <w:r>
                    <w:lastRenderedPageBreak/>
                    <w:t>From these data, calculate:</w:t>
                  </w:r>
                </w:p>
                <w:p w14:paraId="6F00FB21" w14:textId="77777777" w:rsidR="00556141" w:rsidRDefault="00556141">
                  <w:pPr>
                    <w:ind w:left="720"/>
                  </w:pPr>
                  <w:r>
                    <w:rPr>
                      <w:b/>
                      <w:bCs/>
                    </w:rPr>
                    <w:t>a.</w:t>
                  </w:r>
                  <w:r>
                    <w:t xml:space="preserve"> The volume of the central compartment </w:t>
                  </w:r>
                </w:p>
                <w:p w14:paraId="13AF11E9" w14:textId="77777777" w:rsidR="00556141" w:rsidRDefault="00556141">
                  <w:pPr>
                    <w:ind w:left="720"/>
                  </w:pPr>
                  <w:r>
                    <w:rPr>
                      <w:b/>
                      <w:bCs/>
                    </w:rPr>
                    <w:t>b.</w:t>
                  </w:r>
                  <w:r>
                    <w:t xml:space="preserve"> The volume of the tissue compartment </w:t>
                  </w:r>
                </w:p>
                <w:p w14:paraId="3E4EC0EE" w14:textId="77777777" w:rsidR="00556141" w:rsidRDefault="00556141">
                  <w:pPr>
                    <w:ind w:left="720"/>
                  </w:pPr>
                  <w:r>
                    <w:rPr>
                      <w:b/>
                      <w:bCs/>
                    </w:rPr>
                    <w:t>c.</w:t>
                  </w:r>
                  <w:r>
                    <w:t xml:space="preserve"> The transfer constants </w:t>
                  </w:r>
                  <w:r>
                    <w:rPr>
                      <w:i/>
                      <w:iCs/>
                    </w:rPr>
                    <w:t>k</w:t>
                  </w:r>
                  <w:r>
                    <w:t xml:space="preserve"> </w:t>
                  </w:r>
                  <w:r>
                    <w:rPr>
                      <w:vertAlign w:val="subscript"/>
                    </w:rPr>
                    <w:t>12</w:t>
                  </w:r>
                  <w:r>
                    <w:t xml:space="preserve"> and </w:t>
                  </w:r>
                  <w:r>
                    <w:rPr>
                      <w:i/>
                      <w:iCs/>
                    </w:rPr>
                    <w:t>k</w:t>
                  </w:r>
                  <w:r>
                    <w:t xml:space="preserve"> </w:t>
                  </w:r>
                  <w:r>
                    <w:rPr>
                      <w:vertAlign w:val="subscript"/>
                    </w:rPr>
                    <w:t>21</w:t>
                  </w:r>
                  <w:r>
                    <w:t xml:space="preserve"> </w:t>
                  </w:r>
                </w:p>
                <w:p w14:paraId="6E4C4785" w14:textId="77777777" w:rsidR="00556141" w:rsidRDefault="00556141">
                  <w:pPr>
                    <w:ind w:left="720"/>
                  </w:pPr>
                  <w:r>
                    <w:rPr>
                      <w:b/>
                      <w:bCs/>
                    </w:rPr>
                    <w:t>d.</w:t>
                  </w:r>
                  <w:r>
                    <w:t xml:space="preserve"> The elimination rate constant from the central compartment </w:t>
                  </w:r>
                </w:p>
                <w:p w14:paraId="7F60AA14" w14:textId="77777777" w:rsidR="00556141" w:rsidRDefault="00556141">
                  <w:pPr>
                    <w:ind w:left="720"/>
                  </w:pPr>
                  <w:r>
                    <w:rPr>
                      <w:b/>
                      <w:bCs/>
                    </w:rPr>
                    <w:t>e.</w:t>
                  </w:r>
                  <w:r>
                    <w:t xml:space="preserve"> The elimination half-life of amrinone after the drug has equilibrated with the tissue compartment</w:t>
                  </w:r>
                </w:p>
                <w:p w14:paraId="3A69CFB4" w14:textId="77777777" w:rsidR="00556141" w:rsidRDefault="00556141">
                  <w:pPr>
                    <w:pStyle w:val="contentbody"/>
                  </w:pPr>
                  <w:bookmarkStart w:id="267" w:name="2486250"/>
                  <w:bookmarkEnd w:id="267"/>
                  <w:r>
                    <w:rPr>
                      <w:b/>
                      <w:bCs/>
                    </w:rPr>
                    <w:t xml:space="preserve">8. </w:t>
                  </w:r>
                  <w:r>
                    <w:t>A drug may be described by a three-compartment model involving a central compartment and two peripheral tissue compartments. If you could sample the tissue compartments (organs), in which organs would you expect to find a drug level corresponding to the two theoretical peripheral tissue compartments?</w:t>
                  </w:r>
                </w:p>
                <w:p w14:paraId="085211C6" w14:textId="77777777" w:rsidR="00556141" w:rsidRDefault="00556141">
                  <w:pPr>
                    <w:pStyle w:val="contentbody"/>
                  </w:pPr>
                  <w:bookmarkStart w:id="268" w:name="2486251"/>
                  <w:bookmarkEnd w:id="268"/>
                  <w:r>
                    <w:rPr>
                      <w:b/>
                      <w:bCs/>
                    </w:rPr>
                    <w:t xml:space="preserve">9. </w:t>
                  </w:r>
                  <w:r>
                    <w:t>A drug was administered to a patient at 20 mg by IV bolus dose and the time–plasma drug concentration is listed below. Use a suitable compartment model to describe the data and list the fitted equation and parameters. What are the statistical criteria used to describe your fit?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26"/>
                  </w:tblGrid>
                  <w:tr w:rsidR="00556141" w14:paraId="4F5B5AB9"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13"/>
                          <w:gridCol w:w="613"/>
                        </w:tblGrid>
                        <w:tr w:rsidR="00556141" w14:paraId="772EB1FA" w14:textId="77777777">
                          <w:trPr>
                            <w:tblHeader/>
                            <w:tblCellSpacing w:w="7" w:type="dxa"/>
                          </w:trPr>
                          <w:tc>
                            <w:tcPr>
                              <w:tcW w:w="0" w:type="auto"/>
                              <w:shd w:val="clear" w:color="auto" w:fill="FFFFFF"/>
                              <w:hideMark/>
                            </w:tcPr>
                            <w:p w14:paraId="4F808330" w14:textId="77777777" w:rsidR="00556141" w:rsidRDefault="00556141">
                              <w:pPr>
                                <w:rPr>
                                  <w:b/>
                                  <w:bCs/>
                                </w:rPr>
                              </w:pPr>
                              <w:r>
                                <w:rPr>
                                  <w:b/>
                                  <w:bCs/>
                                </w:rPr>
                                <w:t>Hour</w:t>
                              </w:r>
                            </w:p>
                          </w:tc>
                          <w:tc>
                            <w:tcPr>
                              <w:tcW w:w="0" w:type="auto"/>
                              <w:shd w:val="clear" w:color="auto" w:fill="FFFFFF"/>
                              <w:hideMark/>
                            </w:tcPr>
                            <w:p w14:paraId="1035B35D" w14:textId="77777777" w:rsidR="00556141" w:rsidRDefault="00556141">
                              <w:pPr>
                                <w:rPr>
                                  <w:b/>
                                  <w:bCs/>
                                </w:rPr>
                              </w:pPr>
                              <w:r>
                                <w:rPr>
                                  <w:b/>
                                  <w:bCs/>
                                </w:rPr>
                                <w:t>mg/L</w:t>
                              </w:r>
                            </w:p>
                          </w:tc>
                        </w:tr>
                        <w:tr w:rsidR="00556141" w14:paraId="6C0B0BA9" w14:textId="77777777">
                          <w:trPr>
                            <w:tblCellSpacing w:w="7" w:type="dxa"/>
                          </w:trPr>
                          <w:tc>
                            <w:tcPr>
                              <w:tcW w:w="0" w:type="auto"/>
                              <w:shd w:val="clear" w:color="auto" w:fill="FFFFFF"/>
                              <w:hideMark/>
                            </w:tcPr>
                            <w:p w14:paraId="556EB0B1" w14:textId="77777777" w:rsidR="00556141" w:rsidRDefault="00556141">
                              <w:r>
                                <w:t>0.20</w:t>
                              </w:r>
                            </w:p>
                          </w:tc>
                          <w:tc>
                            <w:tcPr>
                              <w:tcW w:w="0" w:type="auto"/>
                              <w:shd w:val="clear" w:color="auto" w:fill="FFFFFF"/>
                              <w:hideMark/>
                            </w:tcPr>
                            <w:p w14:paraId="127D4D4C" w14:textId="77777777" w:rsidR="00556141" w:rsidRDefault="00556141">
                              <w:r>
                                <w:t>3.42</w:t>
                              </w:r>
                            </w:p>
                          </w:tc>
                        </w:tr>
                        <w:tr w:rsidR="00556141" w14:paraId="1E842004" w14:textId="77777777">
                          <w:trPr>
                            <w:tblCellSpacing w:w="7" w:type="dxa"/>
                          </w:trPr>
                          <w:tc>
                            <w:tcPr>
                              <w:tcW w:w="0" w:type="auto"/>
                              <w:shd w:val="clear" w:color="auto" w:fill="FFFFFF"/>
                              <w:hideMark/>
                            </w:tcPr>
                            <w:p w14:paraId="7ECB554A" w14:textId="77777777" w:rsidR="00556141" w:rsidRDefault="00556141">
                              <w:r>
                                <w:t>0.40</w:t>
                              </w:r>
                            </w:p>
                          </w:tc>
                          <w:tc>
                            <w:tcPr>
                              <w:tcW w:w="0" w:type="auto"/>
                              <w:shd w:val="clear" w:color="auto" w:fill="FFFFFF"/>
                              <w:hideMark/>
                            </w:tcPr>
                            <w:p w14:paraId="599404AC" w14:textId="77777777" w:rsidR="00556141" w:rsidRDefault="00556141">
                              <w:r>
                                <w:t>2.25</w:t>
                              </w:r>
                            </w:p>
                          </w:tc>
                        </w:tr>
                        <w:tr w:rsidR="00556141" w14:paraId="458C58DA" w14:textId="77777777">
                          <w:trPr>
                            <w:tblCellSpacing w:w="7" w:type="dxa"/>
                          </w:trPr>
                          <w:tc>
                            <w:tcPr>
                              <w:tcW w:w="0" w:type="auto"/>
                              <w:shd w:val="clear" w:color="auto" w:fill="FFFFFF"/>
                              <w:hideMark/>
                            </w:tcPr>
                            <w:p w14:paraId="4DCCF1A6" w14:textId="77777777" w:rsidR="00556141" w:rsidRDefault="00556141">
                              <w:r>
                                <w:t>0.60</w:t>
                              </w:r>
                            </w:p>
                          </w:tc>
                          <w:tc>
                            <w:tcPr>
                              <w:tcW w:w="0" w:type="auto"/>
                              <w:shd w:val="clear" w:color="auto" w:fill="FFFFFF"/>
                              <w:hideMark/>
                            </w:tcPr>
                            <w:p w14:paraId="4A5F4FFC" w14:textId="77777777" w:rsidR="00556141" w:rsidRDefault="00556141">
                              <w:r>
                                <w:t>1.92</w:t>
                              </w:r>
                            </w:p>
                          </w:tc>
                        </w:tr>
                        <w:tr w:rsidR="00556141" w14:paraId="2B008C73" w14:textId="77777777">
                          <w:trPr>
                            <w:tblCellSpacing w:w="7" w:type="dxa"/>
                          </w:trPr>
                          <w:tc>
                            <w:tcPr>
                              <w:tcW w:w="0" w:type="auto"/>
                              <w:shd w:val="clear" w:color="auto" w:fill="FFFFFF"/>
                              <w:hideMark/>
                            </w:tcPr>
                            <w:p w14:paraId="34398906" w14:textId="77777777" w:rsidR="00556141" w:rsidRDefault="00556141">
                              <w:r>
                                <w:t>0.80</w:t>
                              </w:r>
                            </w:p>
                          </w:tc>
                          <w:tc>
                            <w:tcPr>
                              <w:tcW w:w="0" w:type="auto"/>
                              <w:shd w:val="clear" w:color="auto" w:fill="FFFFFF"/>
                              <w:hideMark/>
                            </w:tcPr>
                            <w:p w14:paraId="1E4A7F40" w14:textId="77777777" w:rsidR="00556141" w:rsidRDefault="00556141">
                              <w:r>
                                <w:t>1.80</w:t>
                              </w:r>
                            </w:p>
                          </w:tc>
                        </w:tr>
                        <w:tr w:rsidR="00556141" w14:paraId="736F235D" w14:textId="77777777">
                          <w:trPr>
                            <w:tblCellSpacing w:w="7" w:type="dxa"/>
                          </w:trPr>
                          <w:tc>
                            <w:tcPr>
                              <w:tcW w:w="0" w:type="auto"/>
                              <w:shd w:val="clear" w:color="auto" w:fill="FFFFFF"/>
                              <w:hideMark/>
                            </w:tcPr>
                            <w:p w14:paraId="4F18D538" w14:textId="77777777" w:rsidR="00556141" w:rsidRDefault="00556141">
                              <w:r>
                                <w:t>1.00</w:t>
                              </w:r>
                            </w:p>
                          </w:tc>
                          <w:tc>
                            <w:tcPr>
                              <w:tcW w:w="0" w:type="auto"/>
                              <w:shd w:val="clear" w:color="auto" w:fill="FFFFFF"/>
                              <w:hideMark/>
                            </w:tcPr>
                            <w:p w14:paraId="06B89D17" w14:textId="77777777" w:rsidR="00556141" w:rsidRDefault="00556141">
                              <w:r>
                                <w:t>1.73</w:t>
                              </w:r>
                            </w:p>
                          </w:tc>
                        </w:tr>
                        <w:tr w:rsidR="00556141" w14:paraId="10E57E9C" w14:textId="77777777">
                          <w:trPr>
                            <w:tblCellSpacing w:w="7" w:type="dxa"/>
                          </w:trPr>
                          <w:tc>
                            <w:tcPr>
                              <w:tcW w:w="0" w:type="auto"/>
                              <w:shd w:val="clear" w:color="auto" w:fill="FFFFFF"/>
                              <w:hideMark/>
                            </w:tcPr>
                            <w:p w14:paraId="09ACA6D7" w14:textId="77777777" w:rsidR="00556141" w:rsidRDefault="00556141">
                              <w:r>
                                <w:t>2.00</w:t>
                              </w:r>
                            </w:p>
                          </w:tc>
                          <w:tc>
                            <w:tcPr>
                              <w:tcW w:w="0" w:type="auto"/>
                              <w:shd w:val="clear" w:color="auto" w:fill="FFFFFF"/>
                              <w:hideMark/>
                            </w:tcPr>
                            <w:p w14:paraId="3F8949EA" w14:textId="77777777" w:rsidR="00556141" w:rsidRDefault="00556141">
                              <w:r>
                                <w:t>1.48</w:t>
                              </w:r>
                            </w:p>
                          </w:tc>
                        </w:tr>
                        <w:tr w:rsidR="00556141" w14:paraId="4F9EAAC8" w14:textId="77777777">
                          <w:trPr>
                            <w:tblCellSpacing w:w="7" w:type="dxa"/>
                          </w:trPr>
                          <w:tc>
                            <w:tcPr>
                              <w:tcW w:w="0" w:type="auto"/>
                              <w:shd w:val="clear" w:color="auto" w:fill="FFFFFF"/>
                              <w:hideMark/>
                            </w:tcPr>
                            <w:p w14:paraId="4F36F007" w14:textId="77777777" w:rsidR="00556141" w:rsidRDefault="00556141">
                              <w:r>
                                <w:t>3.00</w:t>
                              </w:r>
                            </w:p>
                          </w:tc>
                          <w:tc>
                            <w:tcPr>
                              <w:tcW w:w="0" w:type="auto"/>
                              <w:shd w:val="clear" w:color="auto" w:fill="FFFFFF"/>
                              <w:hideMark/>
                            </w:tcPr>
                            <w:p w14:paraId="09A30FB8" w14:textId="77777777" w:rsidR="00556141" w:rsidRDefault="00556141">
                              <w:r>
                                <w:t>1.28</w:t>
                              </w:r>
                            </w:p>
                          </w:tc>
                        </w:tr>
                        <w:tr w:rsidR="00556141" w14:paraId="7BD022DD" w14:textId="77777777">
                          <w:trPr>
                            <w:tblCellSpacing w:w="7" w:type="dxa"/>
                          </w:trPr>
                          <w:tc>
                            <w:tcPr>
                              <w:tcW w:w="0" w:type="auto"/>
                              <w:shd w:val="clear" w:color="auto" w:fill="FFFFFF"/>
                              <w:hideMark/>
                            </w:tcPr>
                            <w:p w14:paraId="150AA98E" w14:textId="77777777" w:rsidR="00556141" w:rsidRDefault="00556141">
                              <w:r>
                                <w:t>4.00</w:t>
                              </w:r>
                            </w:p>
                          </w:tc>
                          <w:tc>
                            <w:tcPr>
                              <w:tcW w:w="0" w:type="auto"/>
                              <w:shd w:val="clear" w:color="auto" w:fill="FFFFFF"/>
                              <w:hideMark/>
                            </w:tcPr>
                            <w:p w14:paraId="55175978" w14:textId="77777777" w:rsidR="00556141" w:rsidRDefault="00556141">
                              <w:r>
                                <w:t>1.10</w:t>
                              </w:r>
                            </w:p>
                          </w:tc>
                        </w:tr>
                        <w:tr w:rsidR="00556141" w14:paraId="42C9033C" w14:textId="77777777">
                          <w:trPr>
                            <w:tblCellSpacing w:w="7" w:type="dxa"/>
                          </w:trPr>
                          <w:tc>
                            <w:tcPr>
                              <w:tcW w:w="0" w:type="auto"/>
                              <w:shd w:val="clear" w:color="auto" w:fill="FFFFFF"/>
                              <w:hideMark/>
                            </w:tcPr>
                            <w:p w14:paraId="7AD6630E" w14:textId="77777777" w:rsidR="00556141" w:rsidRDefault="00556141">
                              <w:r>
                                <w:t>6.00</w:t>
                              </w:r>
                            </w:p>
                          </w:tc>
                          <w:tc>
                            <w:tcPr>
                              <w:tcW w:w="0" w:type="auto"/>
                              <w:shd w:val="clear" w:color="auto" w:fill="FFFFFF"/>
                              <w:hideMark/>
                            </w:tcPr>
                            <w:p w14:paraId="0DA30A26" w14:textId="77777777" w:rsidR="00556141" w:rsidRDefault="00556141">
                              <w:r>
                                <w:t>0.81</w:t>
                              </w:r>
                            </w:p>
                          </w:tc>
                        </w:tr>
                        <w:tr w:rsidR="00556141" w14:paraId="6009B50E" w14:textId="77777777">
                          <w:trPr>
                            <w:tblCellSpacing w:w="7" w:type="dxa"/>
                          </w:trPr>
                          <w:tc>
                            <w:tcPr>
                              <w:tcW w:w="0" w:type="auto"/>
                              <w:shd w:val="clear" w:color="auto" w:fill="FFFFFF"/>
                              <w:hideMark/>
                            </w:tcPr>
                            <w:p w14:paraId="348DEDD0" w14:textId="77777777" w:rsidR="00556141" w:rsidRDefault="00556141">
                              <w:r>
                                <w:t>8.00</w:t>
                              </w:r>
                            </w:p>
                          </w:tc>
                          <w:tc>
                            <w:tcPr>
                              <w:tcW w:w="0" w:type="auto"/>
                              <w:shd w:val="clear" w:color="auto" w:fill="FFFFFF"/>
                              <w:hideMark/>
                            </w:tcPr>
                            <w:p w14:paraId="43E9164F" w14:textId="77777777" w:rsidR="00556141" w:rsidRDefault="00556141">
                              <w:r>
                                <w:t>0.60</w:t>
                              </w:r>
                            </w:p>
                          </w:tc>
                        </w:tr>
                        <w:tr w:rsidR="00556141" w14:paraId="3966B5F0" w14:textId="77777777">
                          <w:trPr>
                            <w:tblCellSpacing w:w="7" w:type="dxa"/>
                          </w:trPr>
                          <w:tc>
                            <w:tcPr>
                              <w:tcW w:w="0" w:type="auto"/>
                              <w:shd w:val="clear" w:color="auto" w:fill="FFFFFF"/>
                              <w:hideMark/>
                            </w:tcPr>
                            <w:p w14:paraId="6F73CA8D" w14:textId="77777777" w:rsidR="00556141" w:rsidRDefault="00556141">
                              <w:r>
                                <w:t>10.00</w:t>
                              </w:r>
                            </w:p>
                          </w:tc>
                          <w:tc>
                            <w:tcPr>
                              <w:tcW w:w="0" w:type="auto"/>
                              <w:shd w:val="clear" w:color="auto" w:fill="FFFFFF"/>
                              <w:hideMark/>
                            </w:tcPr>
                            <w:p w14:paraId="482E75B7" w14:textId="77777777" w:rsidR="00556141" w:rsidRDefault="00556141">
                              <w:r>
                                <w:t>0.45</w:t>
                              </w:r>
                            </w:p>
                          </w:tc>
                        </w:tr>
                        <w:tr w:rsidR="00556141" w14:paraId="64548128" w14:textId="77777777">
                          <w:trPr>
                            <w:tblCellSpacing w:w="7" w:type="dxa"/>
                          </w:trPr>
                          <w:tc>
                            <w:tcPr>
                              <w:tcW w:w="0" w:type="auto"/>
                              <w:shd w:val="clear" w:color="auto" w:fill="FFFFFF"/>
                              <w:hideMark/>
                            </w:tcPr>
                            <w:p w14:paraId="345E8477" w14:textId="77777777" w:rsidR="00556141" w:rsidRDefault="00556141">
                              <w:r>
                                <w:t>12.00</w:t>
                              </w:r>
                            </w:p>
                          </w:tc>
                          <w:tc>
                            <w:tcPr>
                              <w:tcW w:w="0" w:type="auto"/>
                              <w:shd w:val="clear" w:color="auto" w:fill="FFFFFF"/>
                              <w:hideMark/>
                            </w:tcPr>
                            <w:p w14:paraId="290C9FA0" w14:textId="77777777" w:rsidR="00556141" w:rsidRDefault="00556141">
                              <w:r>
                                <w:t>0.33</w:t>
                              </w:r>
                            </w:p>
                          </w:tc>
                        </w:tr>
                        <w:tr w:rsidR="00556141" w14:paraId="239AFB6C" w14:textId="77777777">
                          <w:trPr>
                            <w:tblCellSpacing w:w="7" w:type="dxa"/>
                          </w:trPr>
                          <w:tc>
                            <w:tcPr>
                              <w:tcW w:w="0" w:type="auto"/>
                              <w:shd w:val="clear" w:color="auto" w:fill="FFFFFF"/>
                              <w:hideMark/>
                            </w:tcPr>
                            <w:p w14:paraId="18EBD90A" w14:textId="77777777" w:rsidR="00556141" w:rsidRDefault="00556141">
                              <w:r>
                                <w:t>14.00</w:t>
                              </w:r>
                            </w:p>
                          </w:tc>
                          <w:tc>
                            <w:tcPr>
                              <w:tcW w:w="0" w:type="auto"/>
                              <w:shd w:val="clear" w:color="auto" w:fill="FFFFFF"/>
                              <w:hideMark/>
                            </w:tcPr>
                            <w:p w14:paraId="2AF211A0" w14:textId="77777777" w:rsidR="00556141" w:rsidRDefault="00556141">
                              <w:r>
                                <w:t>0.24</w:t>
                              </w:r>
                            </w:p>
                          </w:tc>
                        </w:tr>
                        <w:tr w:rsidR="00556141" w14:paraId="0C7B096C" w14:textId="77777777">
                          <w:trPr>
                            <w:tblCellSpacing w:w="7" w:type="dxa"/>
                          </w:trPr>
                          <w:tc>
                            <w:tcPr>
                              <w:tcW w:w="0" w:type="auto"/>
                              <w:shd w:val="clear" w:color="auto" w:fill="FFFFFF"/>
                              <w:hideMark/>
                            </w:tcPr>
                            <w:p w14:paraId="0BAC1EFA" w14:textId="77777777" w:rsidR="00556141" w:rsidRDefault="00556141">
                              <w:r>
                                <w:t>18.00</w:t>
                              </w:r>
                            </w:p>
                          </w:tc>
                          <w:tc>
                            <w:tcPr>
                              <w:tcW w:w="0" w:type="auto"/>
                              <w:shd w:val="clear" w:color="auto" w:fill="FFFFFF"/>
                              <w:hideMark/>
                            </w:tcPr>
                            <w:p w14:paraId="652D0DE5" w14:textId="77777777" w:rsidR="00556141" w:rsidRDefault="00556141">
                              <w:r>
                                <w:t>0.13</w:t>
                              </w:r>
                            </w:p>
                          </w:tc>
                        </w:tr>
                        <w:tr w:rsidR="00556141" w14:paraId="571244F0" w14:textId="77777777">
                          <w:trPr>
                            <w:tblCellSpacing w:w="7" w:type="dxa"/>
                          </w:trPr>
                          <w:tc>
                            <w:tcPr>
                              <w:tcW w:w="0" w:type="auto"/>
                              <w:shd w:val="clear" w:color="auto" w:fill="FFFFFF"/>
                              <w:hideMark/>
                            </w:tcPr>
                            <w:p w14:paraId="6725380B" w14:textId="77777777" w:rsidR="00556141" w:rsidRDefault="00556141">
                              <w:r>
                                <w:t>20.00</w:t>
                              </w:r>
                            </w:p>
                          </w:tc>
                          <w:tc>
                            <w:tcPr>
                              <w:tcW w:w="0" w:type="auto"/>
                              <w:shd w:val="clear" w:color="auto" w:fill="FFFFFF"/>
                              <w:hideMark/>
                            </w:tcPr>
                            <w:p w14:paraId="19E3E699" w14:textId="77777777" w:rsidR="00556141" w:rsidRDefault="00556141">
                              <w:r>
                                <w:t>0.10</w:t>
                              </w:r>
                            </w:p>
                          </w:tc>
                        </w:tr>
                      </w:tbl>
                      <w:p w14:paraId="72EB7E5B" w14:textId="77777777" w:rsidR="00556141" w:rsidRDefault="00556141"/>
                    </w:tc>
                  </w:tr>
                  <w:tr w:rsidR="00556141" w14:paraId="67F44A8F" w14:textId="77777777">
                    <w:trPr>
                      <w:tblCellSpacing w:w="0" w:type="dxa"/>
                    </w:trPr>
                    <w:tc>
                      <w:tcPr>
                        <w:tcW w:w="0" w:type="auto"/>
                        <w:shd w:val="clear" w:color="auto" w:fill="FFFFFF"/>
                        <w:vAlign w:val="center"/>
                        <w:hideMark/>
                      </w:tcPr>
                      <w:p w14:paraId="7EB45A2C" w14:textId="77777777" w:rsidR="00556141" w:rsidRDefault="00556141">
                        <w:pPr>
                          <w:rPr>
                            <w:sz w:val="24"/>
                            <w:szCs w:val="24"/>
                          </w:rPr>
                        </w:pPr>
                      </w:p>
                    </w:tc>
                  </w:tr>
                </w:tbl>
                <w:p w14:paraId="21DD4477" w14:textId="77777777" w:rsidR="00556141" w:rsidRDefault="00556141">
                  <w:pPr>
                    <w:pStyle w:val="contentbody"/>
                  </w:pPr>
                  <w:bookmarkStart w:id="269" w:name="2486252"/>
                  <w:bookmarkEnd w:id="269"/>
                  <w:r>
                    <w:rPr>
                      <w:b/>
                      <w:bCs/>
                    </w:rPr>
                    <w:t>10.</w:t>
                  </w:r>
                  <w:r>
                    <w:t xml:space="preserve"> The toxicokinetics of colchicine in seven cases of acute human poisoning was studied by . In three further cases, postmortem tissue concentrations of colchicine were measured. Colchicine follows the two-compartment model with wide distribution in various tissues. Depending on the time of patient admission, two disposition processes were observed. The first, in three patients, admitted early, showed a biexponential plasma colchicine decrease, with distribution half-lives of 30, 45, and 90 minutes. The second, in four patients, admitted late, showed a monoexponential decrease. Plasma terminal half-lives ranged from 10.6 to 31.7 hours for both groups.</w:t>
                  </w:r>
                </w:p>
                <w:p w14:paraId="40984E04" w14:textId="77777777" w:rsidR="00556141" w:rsidRDefault="00556141">
                  <w:pPr>
                    <w:pStyle w:val="contentbody"/>
                  </w:pPr>
                  <w:bookmarkStart w:id="270" w:name="2486253"/>
                  <w:bookmarkEnd w:id="270"/>
                  <w:r>
                    <w:rPr>
                      <w:b/>
                      <w:bCs/>
                    </w:rPr>
                    <w:t>11.</w:t>
                  </w:r>
                  <w:r>
                    <w:t xml:space="preserve"> Postmortem tissue analysis of colchicine showed that colchicine accumulated at high concentrations in the bone marrow (more than 600 ng/g), testicle (400 ng/g), spleen (250 ng/g), kidney (200 ng/g), lung (200 ng/g), heart (95 ng/g), and brain (125 ng/g). The pharmacokinetic parameters of colchicine are:</w:t>
                  </w:r>
                </w:p>
                <w:p w14:paraId="2DF5BF8E" w14:textId="77777777" w:rsidR="00556141" w:rsidRDefault="00556141">
                  <w:pPr>
                    <w:ind w:left="720"/>
                  </w:pPr>
                  <w:r>
                    <w:t xml:space="preserve">Fraction of unchanged colchicine in urine = 30% </w:t>
                  </w:r>
                </w:p>
                <w:p w14:paraId="47C264BB" w14:textId="77777777" w:rsidR="00556141" w:rsidRDefault="00556141">
                  <w:pPr>
                    <w:ind w:left="720"/>
                  </w:pPr>
                  <w:r>
                    <w:t xml:space="preserve">Renal clearance = 13 L/hr </w:t>
                  </w:r>
                </w:p>
                <w:p w14:paraId="079F31FA" w14:textId="77777777" w:rsidR="00556141" w:rsidRDefault="00556141">
                  <w:pPr>
                    <w:ind w:left="720"/>
                  </w:pPr>
                  <w:r>
                    <w:t xml:space="preserve">Total body clearance = 39 L/hr </w:t>
                  </w:r>
                </w:p>
                <w:p w14:paraId="014D07B6" w14:textId="77777777" w:rsidR="00556141" w:rsidRDefault="00556141">
                  <w:pPr>
                    <w:ind w:left="720"/>
                  </w:pPr>
                  <w:r>
                    <w:t xml:space="preserve">Apparent volume of distribution = 21 L/kg </w:t>
                  </w:r>
                </w:p>
                <w:p w14:paraId="032D73F6" w14:textId="77777777" w:rsidR="00556141" w:rsidRDefault="00556141">
                  <w:pPr>
                    <w:ind w:left="720"/>
                  </w:pPr>
                  <w:r>
                    <w:rPr>
                      <w:b/>
                      <w:bCs/>
                    </w:rPr>
                    <w:t>a.</w:t>
                  </w:r>
                  <w:r>
                    <w:t xml:space="preserve"> Why is colchicine described by a monoexponential profile in some subjects and a biexponential in others? </w:t>
                  </w:r>
                </w:p>
                <w:p w14:paraId="01C6699B" w14:textId="77777777" w:rsidR="00556141" w:rsidRDefault="00556141">
                  <w:pPr>
                    <w:ind w:left="720"/>
                  </w:pPr>
                  <w:r>
                    <w:rPr>
                      <w:b/>
                      <w:bCs/>
                    </w:rPr>
                    <w:lastRenderedPageBreak/>
                    <w:t>b.</w:t>
                  </w:r>
                  <w:r>
                    <w:t xml:space="preserve"> What is the range of distribution of half-life of colchicine in the subjects? </w:t>
                  </w:r>
                </w:p>
                <w:p w14:paraId="33CE17FE" w14:textId="77777777" w:rsidR="00556141" w:rsidRDefault="00556141">
                  <w:pPr>
                    <w:ind w:left="720"/>
                  </w:pPr>
                  <w:r>
                    <w:rPr>
                      <w:b/>
                      <w:bCs/>
                    </w:rPr>
                    <w:t>c.</w:t>
                  </w:r>
                  <w:r>
                    <w:t xml:space="preserve"> Which parameter is useful in estimating tissue drug level at any time? </w:t>
                  </w:r>
                </w:p>
                <w:p w14:paraId="047B2AB7" w14:textId="77777777" w:rsidR="00556141" w:rsidRDefault="00556141">
                  <w:pPr>
                    <w:ind w:left="720"/>
                  </w:pPr>
                  <w:r>
                    <w:rPr>
                      <w:b/>
                      <w:bCs/>
                    </w:rPr>
                    <w:t>d.</w:t>
                  </w:r>
                  <w:r>
                    <w:t xml:space="preserve"> Some clinical pharmacists assumed that, at steady state when equilibration is reached between the plasma and the tissue, the tissue drug concentration would be the same as the plasma. Do you agree? </w:t>
                  </w:r>
                </w:p>
                <w:p w14:paraId="042254C6" w14:textId="77777777" w:rsidR="00556141" w:rsidRDefault="00556141">
                  <w:pPr>
                    <w:ind w:left="720"/>
                  </w:pPr>
                  <w:r>
                    <w:rPr>
                      <w:b/>
                      <w:bCs/>
                    </w:rPr>
                    <w:t>e.</w:t>
                  </w:r>
                  <w:r>
                    <w:t xml:space="preserve"> Which tissues may be predicted by the tissue compartment?</w:t>
                  </w:r>
                </w:p>
              </w:tc>
              <w:bookmarkStart w:id="271" w:name="2486254"/>
              <w:bookmarkEnd w:id="271"/>
            </w:tr>
          </w:tbl>
          <w:p w14:paraId="05878A7C" w14:textId="77777777" w:rsidR="00556141" w:rsidRDefault="00556141">
            <w:pPr>
              <w:rPr>
                <w:vanish/>
              </w:rPr>
            </w:pPr>
            <w:bookmarkStart w:id="272" w:name="2486255"/>
            <w:bookmarkEnd w:id="272"/>
          </w:p>
          <w:tbl>
            <w:tblPr>
              <w:tblW w:w="0" w:type="auto"/>
              <w:tblCellSpacing w:w="0" w:type="dxa"/>
              <w:tblCellMar>
                <w:left w:w="0" w:type="dxa"/>
                <w:right w:w="0" w:type="dxa"/>
              </w:tblCellMar>
              <w:tblLook w:val="04A0" w:firstRow="1" w:lastRow="0" w:firstColumn="1" w:lastColumn="0" w:noHBand="0" w:noVBand="1"/>
            </w:tblPr>
            <w:tblGrid>
              <w:gridCol w:w="10320"/>
            </w:tblGrid>
            <w:tr w:rsidR="00556141" w14:paraId="4F7BD83E" w14:textId="77777777">
              <w:trPr>
                <w:tblCellSpacing w:w="0" w:type="dxa"/>
              </w:trPr>
              <w:tc>
                <w:tcPr>
                  <w:tcW w:w="0" w:type="auto"/>
                  <w:shd w:val="clear" w:color="auto" w:fill="FFFFFF"/>
                  <w:hideMark/>
                </w:tcPr>
                <w:p w14:paraId="3BD869B3" w14:textId="77777777" w:rsidR="00556141" w:rsidRDefault="00556141">
                  <w:pPr>
                    <w:pStyle w:val="contenthead1"/>
                  </w:pPr>
                  <w: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556141" w14:paraId="74589149" w14:textId="77777777">
                    <w:trPr>
                      <w:tblCellSpacing w:w="0" w:type="dxa"/>
                    </w:trPr>
                    <w:tc>
                      <w:tcPr>
                        <w:tcW w:w="0" w:type="auto"/>
                        <w:hideMark/>
                      </w:tcPr>
                      <w:p w14:paraId="785BC9C5" w14:textId="77777777" w:rsidR="00556141" w:rsidRDefault="00556141">
                        <w:pPr>
                          <w:spacing w:after="240"/>
                        </w:pPr>
                        <w:r>
                          <w:t xml:space="preserve">Butler TC: The distribution of drugs. In LaDu BN et al (eds), </w:t>
                        </w:r>
                        <w:r>
                          <w:rPr>
                            <w:i/>
                            <w:iCs/>
                          </w:rPr>
                          <w:t>Fundamentals of Drug Metabolism and Disposition</w:t>
                        </w:r>
                        <w:r>
                          <w:t xml:space="preserve">. Baltimore, Williams &amp; Wilkins, 1972 </w:t>
                        </w:r>
                      </w:p>
                    </w:tc>
                  </w:tr>
                  <w:tr w:rsidR="00556141" w14:paraId="69BBAEDA" w14:textId="77777777">
                    <w:trPr>
                      <w:tblCellSpacing w:w="0" w:type="dxa"/>
                    </w:trPr>
                    <w:tc>
                      <w:tcPr>
                        <w:tcW w:w="0" w:type="auto"/>
                        <w:hideMark/>
                      </w:tcPr>
                      <w:p w14:paraId="04CA8E24" w14:textId="77777777" w:rsidR="00556141" w:rsidRDefault="00556141">
                        <w:pPr>
                          <w:spacing w:after="240"/>
                        </w:pPr>
                        <w:r>
                          <w:t xml:space="preserve">Eger E: In EM Papper and JR Kitz (eds), </w:t>
                        </w:r>
                        <w:r>
                          <w:rPr>
                            <w:i/>
                            <w:iCs/>
                          </w:rPr>
                          <w:t>Uptake and Distribution of Anesthetic Agents</w:t>
                        </w:r>
                        <w:r>
                          <w:t xml:space="preserve">. New York, McGraw Hill, 1963, p. 76 </w:t>
                        </w:r>
                      </w:p>
                    </w:tc>
                  </w:tr>
                  <w:tr w:rsidR="00556141" w14:paraId="251B17EE" w14:textId="77777777">
                    <w:trPr>
                      <w:tblCellSpacing w:w="0" w:type="dxa"/>
                    </w:trPr>
                    <w:tc>
                      <w:tcPr>
                        <w:tcW w:w="0" w:type="auto"/>
                        <w:hideMark/>
                      </w:tcPr>
                      <w:p w14:paraId="602FCEBD" w14:textId="77777777" w:rsidR="00556141" w:rsidRDefault="00556141">
                        <w:pPr>
                          <w:spacing w:after="240"/>
                        </w:pPr>
                        <w:r>
                          <w:t xml:space="preserve">Harron DWG: Digoxin pharmacokinetic modelling—10 years later. </w:t>
                        </w:r>
                        <w:r>
                          <w:rPr>
                            <w:i/>
                            <w:iCs/>
                          </w:rPr>
                          <w:t>Int J Pharm</w:t>
                        </w:r>
                        <w:r>
                          <w:rPr>
                            <w:b/>
                            <w:bCs/>
                          </w:rPr>
                          <w:t>53:</w:t>
                        </w:r>
                        <w:r>
                          <w:t xml:space="preserve">181–188, 1989 </w:t>
                        </w:r>
                      </w:p>
                    </w:tc>
                  </w:tr>
                  <w:tr w:rsidR="00556141" w14:paraId="790C501A" w14:textId="77777777">
                    <w:trPr>
                      <w:tblCellSpacing w:w="0" w:type="dxa"/>
                    </w:trPr>
                    <w:tc>
                      <w:tcPr>
                        <w:tcW w:w="0" w:type="auto"/>
                        <w:hideMark/>
                      </w:tcPr>
                      <w:p w14:paraId="1B71D530" w14:textId="77777777" w:rsidR="00556141" w:rsidRDefault="00556141">
                        <w:pPr>
                          <w:spacing w:after="240"/>
                        </w:pPr>
                        <w:r>
                          <w:t xml:space="preserve">Hill HF, Coda BA, Tanaka A, Schaffer R: Multiple-dose evaluation of intravenous hydromorphone pharmacokinetics in normal human subjects. </w:t>
                        </w:r>
                        <w:r>
                          <w:rPr>
                            <w:i/>
                            <w:iCs/>
                          </w:rPr>
                          <w:t>Anesth Analg</w:t>
                        </w:r>
                        <w:r>
                          <w:rPr>
                            <w:b/>
                            <w:bCs/>
                          </w:rPr>
                          <w:t>72:</w:t>
                        </w:r>
                        <w:r>
                          <w:t>330–336, 1991 [PMID: 1704690]</w:t>
                        </w:r>
                      </w:p>
                    </w:tc>
                  </w:tr>
                  <w:tr w:rsidR="00556141" w14:paraId="411374E1" w14:textId="77777777">
                    <w:trPr>
                      <w:tblCellSpacing w:w="0" w:type="dxa"/>
                    </w:trPr>
                    <w:tc>
                      <w:tcPr>
                        <w:tcW w:w="0" w:type="auto"/>
                        <w:hideMark/>
                      </w:tcPr>
                      <w:p w14:paraId="6869E217" w14:textId="77777777" w:rsidR="00556141" w:rsidRDefault="00556141">
                        <w:pPr>
                          <w:spacing w:after="240"/>
                        </w:pPr>
                        <w:r>
                          <w:t xml:space="preserve">Mitenko PA, Ogilvie RI: Pharmacokinetics of intravenous theophylline. </w:t>
                        </w:r>
                        <w:r>
                          <w:rPr>
                            <w:i/>
                            <w:iCs/>
                          </w:rPr>
                          <w:t>Clin Pharmacol Ther</w:t>
                        </w:r>
                        <w:r>
                          <w:rPr>
                            <w:b/>
                            <w:bCs/>
                          </w:rPr>
                          <w:t>14:</w:t>
                        </w:r>
                        <w:r>
                          <w:t>509, 1973 [PMID: 4723258]</w:t>
                        </w:r>
                      </w:p>
                    </w:tc>
                  </w:tr>
                  <w:tr w:rsidR="00556141" w14:paraId="67B9C6B3" w14:textId="77777777">
                    <w:trPr>
                      <w:tblCellSpacing w:w="0" w:type="dxa"/>
                    </w:trPr>
                    <w:tc>
                      <w:tcPr>
                        <w:tcW w:w="0" w:type="auto"/>
                        <w:hideMark/>
                      </w:tcPr>
                      <w:p w14:paraId="2277C47D" w14:textId="77777777" w:rsidR="00556141" w:rsidRDefault="00556141">
                        <w:pPr>
                          <w:spacing w:after="240"/>
                        </w:pPr>
                        <w:r>
                          <w:t xml:space="preserve">Parab PV, Ritschel WA, Coyle DE, Gree RV, Denson DD: Pharmacokinetics of hydromorphone after intravenous, peroral and rectal administration to human subjects. </w:t>
                        </w:r>
                        <w:r>
                          <w:rPr>
                            <w:i/>
                            <w:iCs/>
                          </w:rPr>
                          <w:t>Biopharm Drug Dispos</w:t>
                        </w:r>
                        <w:r>
                          <w:rPr>
                            <w:b/>
                            <w:bCs/>
                          </w:rPr>
                          <w:t>9:</w:t>
                        </w:r>
                        <w:r>
                          <w:t>187–199, 1988 [PMID: 2453226]</w:t>
                        </w:r>
                      </w:p>
                    </w:tc>
                  </w:tr>
                  <w:tr w:rsidR="00556141" w14:paraId="31ADBFD8" w14:textId="77777777">
                    <w:trPr>
                      <w:tblCellSpacing w:w="0" w:type="dxa"/>
                    </w:trPr>
                    <w:tc>
                      <w:tcPr>
                        <w:tcW w:w="0" w:type="auto"/>
                        <w:hideMark/>
                      </w:tcPr>
                      <w:p w14:paraId="5D08B251" w14:textId="77777777" w:rsidR="00556141" w:rsidRDefault="00556141">
                        <w:pPr>
                          <w:spacing w:after="240"/>
                        </w:pPr>
                        <w:r>
                          <w:t xml:space="preserve">Park GP, Kershner RP, Angellotti J, et al: Oral bioavailability and intravenous pharmacokinetics of amrinone in humans. </w:t>
                        </w:r>
                        <w:r>
                          <w:rPr>
                            <w:i/>
                            <w:iCs/>
                          </w:rPr>
                          <w:t>J Pharm Sci</w:t>
                        </w:r>
                        <w:r>
                          <w:rPr>
                            <w:b/>
                            <w:bCs/>
                          </w:rPr>
                          <w:t>72:</w:t>
                        </w:r>
                        <w:r>
                          <w:t>817, 1983 [PMID: 6886991]</w:t>
                        </w:r>
                      </w:p>
                    </w:tc>
                  </w:tr>
                  <w:tr w:rsidR="00556141" w14:paraId="759DC166" w14:textId="77777777">
                    <w:trPr>
                      <w:tblCellSpacing w:w="0" w:type="dxa"/>
                    </w:trPr>
                    <w:tc>
                      <w:tcPr>
                        <w:tcW w:w="0" w:type="auto"/>
                        <w:hideMark/>
                      </w:tcPr>
                      <w:p w14:paraId="71A582F4" w14:textId="77777777" w:rsidR="00556141" w:rsidRDefault="00556141">
                        <w:pPr>
                          <w:spacing w:after="240"/>
                        </w:pPr>
                        <w:r>
                          <w:t xml:space="preserve">Rochdi M, Sabouraud A, Baud FJ, Bismuth C, Scherrmann JM: Toxicokinetics of colchicine in humans: Analysis of tissue, plasma and urine data in ten cases. </w:t>
                        </w:r>
                        <w:r>
                          <w:rPr>
                            <w:i/>
                            <w:iCs/>
                          </w:rPr>
                          <w:t>Hum Exp Toxicol</w:t>
                        </w:r>
                        <w:r>
                          <w:rPr>
                            <w:b/>
                            <w:bCs/>
                          </w:rPr>
                          <w:t>11</w:t>
                        </w:r>
                        <w:r>
                          <w:t xml:space="preserve">(6):510–516, 1992 </w:t>
                        </w:r>
                      </w:p>
                    </w:tc>
                  </w:tr>
                  <w:tr w:rsidR="00556141" w14:paraId="75FD0A30" w14:textId="77777777">
                    <w:trPr>
                      <w:tblCellSpacing w:w="0" w:type="dxa"/>
                    </w:trPr>
                    <w:tc>
                      <w:tcPr>
                        <w:tcW w:w="0" w:type="auto"/>
                        <w:hideMark/>
                      </w:tcPr>
                      <w:p w14:paraId="40116283" w14:textId="77777777" w:rsidR="00556141" w:rsidRDefault="00556141">
                        <w:pPr>
                          <w:spacing w:after="240"/>
                        </w:pPr>
                        <w:r>
                          <w:t xml:space="preserve">Schentag JJ, Jusko WJ, Plaut ME, Cumbo TJ, Vance JW, and Abutyn E: Tissue persistence of gentamicin in man. </w:t>
                        </w:r>
                        <w:r>
                          <w:rPr>
                            <w:i/>
                            <w:iCs/>
                          </w:rPr>
                          <w:t>JAMA</w:t>
                        </w:r>
                        <w:r>
                          <w:rPr>
                            <w:b/>
                            <w:bCs/>
                          </w:rPr>
                          <w:t>238:</w:t>
                        </w:r>
                        <w:r>
                          <w:t>327–329, 1977 [PMID: 406431]</w:t>
                        </w:r>
                      </w:p>
                    </w:tc>
                  </w:tr>
                  <w:tr w:rsidR="00556141" w14:paraId="582C8AA4" w14:textId="77777777">
                    <w:trPr>
                      <w:tblCellSpacing w:w="0" w:type="dxa"/>
                    </w:trPr>
                    <w:tc>
                      <w:tcPr>
                        <w:tcW w:w="0" w:type="auto"/>
                        <w:hideMark/>
                      </w:tcPr>
                      <w:p w14:paraId="077CC209" w14:textId="77777777" w:rsidR="00556141" w:rsidRDefault="00556141">
                        <w:pPr>
                          <w:spacing w:after="240"/>
                        </w:pPr>
                        <w:r>
                          <w:t xml:space="preserve">Schumacher GE: </w:t>
                        </w:r>
                        <w:r>
                          <w:rPr>
                            <w:i/>
                            <w:iCs/>
                          </w:rPr>
                          <w:t>Therapeutic Drug Monitoring</w:t>
                        </w:r>
                        <w:r>
                          <w:t xml:space="preserve">. Norwalk, CT, Appleton &amp; Lange, 1995 </w:t>
                        </w:r>
                      </w:p>
                    </w:tc>
                  </w:tr>
                  <w:tr w:rsidR="00556141" w14:paraId="1A13DE28" w14:textId="77777777">
                    <w:trPr>
                      <w:tblCellSpacing w:w="0" w:type="dxa"/>
                    </w:trPr>
                    <w:tc>
                      <w:tcPr>
                        <w:tcW w:w="0" w:type="auto"/>
                        <w:hideMark/>
                      </w:tcPr>
                      <w:p w14:paraId="3FCF9855" w14:textId="77777777" w:rsidR="00556141" w:rsidRDefault="00556141">
                        <w:pPr>
                          <w:spacing w:after="240"/>
                        </w:pPr>
                        <w:r>
                          <w:t xml:space="preserve">Swanson DJ, Reitberg DP, Smith IL, Wels PB, Schentag JJ: Steady-state moxalactam pharmacokinetics in patients: Noncompartmental versus two-compartmental analysis. </w:t>
                        </w:r>
                        <w:r>
                          <w:rPr>
                            <w:i/>
                            <w:iCs/>
                          </w:rPr>
                          <w:t>JPharmacokinet-Biopharm</w:t>
                        </w:r>
                        <w:r>
                          <w:rPr>
                            <w:b/>
                            <w:bCs/>
                          </w:rPr>
                          <w:t>11</w:t>
                        </w:r>
                        <w:r>
                          <w:t xml:space="preserve">(4):337–353, 1983 </w:t>
                        </w:r>
                      </w:p>
                    </w:tc>
                  </w:tr>
                  <w:tr w:rsidR="00556141" w14:paraId="7EF0E8D1" w14:textId="77777777">
                    <w:trPr>
                      <w:tblCellSpacing w:w="0" w:type="dxa"/>
                    </w:trPr>
                    <w:tc>
                      <w:tcPr>
                        <w:tcW w:w="0" w:type="auto"/>
                        <w:hideMark/>
                      </w:tcPr>
                      <w:p w14:paraId="073E5FE1" w14:textId="77777777" w:rsidR="00556141" w:rsidRDefault="00556141">
                        <w:pPr>
                          <w:spacing w:after="240"/>
                        </w:pPr>
                        <w:r>
                          <w:t xml:space="preserve">Vallner JJ, Stewart JT, Kotzan JA, Kirsten EB, Honiger IL: Pharmacokinetics and bioavailability of hydromorphone following intravenous and oral administration to human subjects. </w:t>
                        </w:r>
                        <w:r>
                          <w:rPr>
                            <w:i/>
                            <w:iCs/>
                          </w:rPr>
                          <w:t>J Clin Pharmacol</w:t>
                        </w:r>
                        <w:r>
                          <w:rPr>
                            <w:b/>
                            <w:bCs/>
                          </w:rPr>
                          <w:t>21:</w:t>
                        </w:r>
                        <w:r>
                          <w:t>152–156, 1981 [PMID: 6165742]</w:t>
                        </w:r>
                      </w:p>
                    </w:tc>
                  </w:tr>
                  <w:tr w:rsidR="00556141" w14:paraId="2B196915" w14:textId="77777777">
                    <w:trPr>
                      <w:tblCellSpacing w:w="0" w:type="dxa"/>
                    </w:trPr>
                    <w:tc>
                      <w:tcPr>
                        <w:tcW w:w="0" w:type="auto"/>
                        <w:hideMark/>
                      </w:tcPr>
                      <w:p w14:paraId="7B208EF6" w14:textId="77777777" w:rsidR="00556141" w:rsidRDefault="00556141">
                        <w:pPr>
                          <w:spacing w:after="240"/>
                        </w:pPr>
                        <w:r>
                          <w:t xml:space="preserve">Winters ME: </w:t>
                        </w:r>
                        <w:r>
                          <w:rPr>
                            <w:i/>
                            <w:iCs/>
                          </w:rPr>
                          <w:t>Basic Clinical Pharmacokinetics</w:t>
                        </w:r>
                        <w:r>
                          <w:t xml:space="preserve">, 3rd ed. Vancouver, WA, Applied Therapeutics, 1994, p. 23 </w:t>
                        </w:r>
                      </w:p>
                    </w:tc>
                  </w:tr>
                </w:tbl>
                <w:p w14:paraId="08E10BE5" w14:textId="77777777" w:rsidR="00556141" w:rsidRDefault="00556141">
                  <w:pPr>
                    <w:rPr>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556141" w14:paraId="5C31EF6F" w14:textId="77777777">
                    <w:trPr>
                      <w:tblCellSpacing w:w="0" w:type="dxa"/>
                    </w:trPr>
                    <w:tc>
                      <w:tcPr>
                        <w:tcW w:w="0" w:type="auto"/>
                        <w:hideMark/>
                      </w:tcPr>
                      <w:p w14:paraId="3C920BAF" w14:textId="77777777" w:rsidR="00556141" w:rsidRDefault="00556141">
                        <w:pPr>
                          <w:pStyle w:val="contenthead1"/>
                        </w:pPr>
                        <w:r>
                          <w:t>Bibliography</w:t>
                        </w:r>
                      </w:p>
                      <w:p w14:paraId="49D71AF4" w14:textId="77777777" w:rsidR="00556141" w:rsidRDefault="00556141"/>
                    </w:tc>
                  </w:tr>
                  <w:tr w:rsidR="00556141" w14:paraId="6B1D1EC9" w14:textId="77777777">
                    <w:trPr>
                      <w:tblCellSpacing w:w="0" w:type="dxa"/>
                    </w:trPr>
                    <w:tc>
                      <w:tcPr>
                        <w:tcW w:w="0" w:type="auto"/>
                        <w:hideMark/>
                      </w:tcPr>
                      <w:p w14:paraId="02BB6BA4" w14:textId="77777777" w:rsidR="00556141" w:rsidRDefault="00556141">
                        <w:pPr>
                          <w:spacing w:after="240"/>
                        </w:pPr>
                        <w:r>
                          <w:t xml:space="preserve">Dvorchick BH, Vessell ES: Significance of error associated with use of the one-compartment formula to calculate clearance of 38 drugs. </w:t>
                        </w:r>
                        <w:r>
                          <w:rPr>
                            <w:i/>
                            <w:iCs/>
                          </w:rPr>
                          <w:t>Clin Pharmacol Ther</w:t>
                        </w:r>
                        <w:r>
                          <w:rPr>
                            <w:b/>
                            <w:bCs/>
                          </w:rPr>
                          <w:t>23:</w:t>
                        </w:r>
                        <w:r>
                          <w:t xml:space="preserve">617–623, 1978 </w:t>
                        </w:r>
                      </w:p>
                    </w:tc>
                  </w:tr>
                  <w:tr w:rsidR="00556141" w14:paraId="5693BB79" w14:textId="77777777">
                    <w:trPr>
                      <w:tblCellSpacing w:w="0" w:type="dxa"/>
                    </w:trPr>
                    <w:tc>
                      <w:tcPr>
                        <w:tcW w:w="0" w:type="auto"/>
                        <w:hideMark/>
                      </w:tcPr>
                      <w:p w14:paraId="5732E54E" w14:textId="77777777" w:rsidR="00556141" w:rsidRDefault="00556141">
                        <w:pPr>
                          <w:spacing w:after="240"/>
                        </w:pPr>
                        <w:r>
                          <w:t xml:space="preserve">Jusko WJ, Gibaldi M: Effects of change in elimination on various parameters of the two-compartment open model. </w:t>
                        </w:r>
                        <w:r>
                          <w:rPr>
                            <w:i/>
                            <w:iCs/>
                          </w:rPr>
                          <w:t>J Pharm Sci</w:t>
                        </w:r>
                        <w:r>
                          <w:rPr>
                            <w:b/>
                            <w:bCs/>
                          </w:rPr>
                          <w:t>61:</w:t>
                        </w:r>
                        <w:r>
                          <w:t>1270–1273, 1972 [PMID: 5050376]</w:t>
                        </w:r>
                      </w:p>
                    </w:tc>
                  </w:tr>
                  <w:tr w:rsidR="00556141" w14:paraId="21AF63C5" w14:textId="77777777">
                    <w:trPr>
                      <w:tblCellSpacing w:w="0" w:type="dxa"/>
                    </w:trPr>
                    <w:tc>
                      <w:tcPr>
                        <w:tcW w:w="0" w:type="auto"/>
                        <w:hideMark/>
                      </w:tcPr>
                      <w:p w14:paraId="7C8BFE80" w14:textId="77777777" w:rsidR="00556141" w:rsidRDefault="00556141">
                        <w:pPr>
                          <w:spacing w:after="240"/>
                        </w:pPr>
                        <w:r>
                          <w:t xml:space="preserve">Loughman PM, Sitar DS, Oglivie RI, Neims AH: The two-compartment open-system kinetic model: A review of its clinical implications and applications. </w:t>
                        </w:r>
                        <w:r>
                          <w:rPr>
                            <w:i/>
                            <w:iCs/>
                          </w:rPr>
                          <w:t>J Pediatr</w:t>
                        </w:r>
                        <w:r>
                          <w:rPr>
                            <w:b/>
                            <w:bCs/>
                          </w:rPr>
                          <w:t>88:</w:t>
                        </w:r>
                        <w:r>
                          <w:t xml:space="preserve">869–873, 1976 </w:t>
                        </w:r>
                      </w:p>
                    </w:tc>
                  </w:tr>
                  <w:tr w:rsidR="00556141" w14:paraId="0DE576C9" w14:textId="77777777">
                    <w:trPr>
                      <w:tblCellSpacing w:w="0" w:type="dxa"/>
                    </w:trPr>
                    <w:tc>
                      <w:tcPr>
                        <w:tcW w:w="0" w:type="auto"/>
                        <w:hideMark/>
                      </w:tcPr>
                      <w:p w14:paraId="60934C5D" w14:textId="77777777" w:rsidR="00556141" w:rsidRDefault="00556141">
                        <w:pPr>
                          <w:spacing w:after="240"/>
                        </w:pPr>
                        <w:r>
                          <w:t xml:space="preserve">Mayersohn M, Gibaldi M: Mathematical methods in pharmacokinetics, II: Solution of the twocompartment open model. </w:t>
                        </w:r>
                        <w:r>
                          <w:rPr>
                            <w:i/>
                            <w:iCs/>
                          </w:rPr>
                          <w:t>Am J Pharm Ed</w:t>
                        </w:r>
                        <w:r>
                          <w:rPr>
                            <w:b/>
                            <w:bCs/>
                          </w:rPr>
                          <w:t>35:</w:t>
                        </w:r>
                        <w:r>
                          <w:t xml:space="preserve">19–28, 1971 </w:t>
                        </w:r>
                      </w:p>
                    </w:tc>
                  </w:tr>
                  <w:tr w:rsidR="00556141" w14:paraId="32553076" w14:textId="77777777">
                    <w:trPr>
                      <w:tblCellSpacing w:w="0" w:type="dxa"/>
                    </w:trPr>
                    <w:tc>
                      <w:tcPr>
                        <w:tcW w:w="0" w:type="auto"/>
                        <w:hideMark/>
                      </w:tcPr>
                      <w:p w14:paraId="370ABF2F" w14:textId="77777777" w:rsidR="00556141" w:rsidRDefault="00556141">
                        <w:pPr>
                          <w:spacing w:after="240"/>
                        </w:pPr>
                        <w:r>
                          <w:t xml:space="preserve">Riegelman S, Loo JCK, Rowland M: Concept of a volume of distribution and possible errors in evaluation of this </w:t>
                        </w:r>
                        <w:r>
                          <w:lastRenderedPageBreak/>
                          <w:t xml:space="preserve">parameter. </w:t>
                        </w:r>
                        <w:r>
                          <w:rPr>
                            <w:i/>
                            <w:iCs/>
                          </w:rPr>
                          <w:t>J Pharm Sci</w:t>
                        </w:r>
                        <w:r>
                          <w:rPr>
                            <w:b/>
                            <w:bCs/>
                          </w:rPr>
                          <w:t>57:</w:t>
                        </w:r>
                        <w:r>
                          <w:t>128–133, 1968 [PMID: 5652112]</w:t>
                        </w:r>
                      </w:p>
                    </w:tc>
                  </w:tr>
                  <w:tr w:rsidR="00556141" w14:paraId="36604DD3" w14:textId="77777777">
                    <w:trPr>
                      <w:tblCellSpacing w:w="0" w:type="dxa"/>
                    </w:trPr>
                    <w:tc>
                      <w:tcPr>
                        <w:tcW w:w="0" w:type="auto"/>
                        <w:hideMark/>
                      </w:tcPr>
                      <w:p w14:paraId="0930F62A" w14:textId="77777777" w:rsidR="00556141" w:rsidRDefault="00556141">
                        <w:pPr>
                          <w:spacing w:after="240"/>
                        </w:pPr>
                        <w:r>
                          <w:lastRenderedPageBreak/>
                          <w:t xml:space="preserve">Riegelman S, Loo JCK, Rowland M: Shortcomings in pharmacokinetics analysis by conceiving the body to exhibit properties of a single compartment. </w:t>
                        </w:r>
                        <w:r>
                          <w:rPr>
                            <w:i/>
                            <w:iCs/>
                          </w:rPr>
                          <w:t xml:space="preserve">J Pharm Sci </w:t>
                        </w:r>
                        <w:r>
                          <w:rPr>
                            <w:b/>
                            <w:bCs/>
                          </w:rPr>
                          <w:t>57:</w:t>
                        </w:r>
                        <w:r>
                          <w:t>117–123, 1968 [PMID: 5652110]</w:t>
                        </w:r>
                      </w:p>
                    </w:tc>
                  </w:tr>
                </w:tbl>
                <w:p w14:paraId="279663B5" w14:textId="77777777" w:rsidR="00556141" w:rsidRDefault="00556141"/>
              </w:tc>
            </w:tr>
          </w:tbl>
          <w:p w14:paraId="5D2392EC" w14:textId="77777777" w:rsidR="00556141" w:rsidRDefault="00556141">
            <w:pPr>
              <w:rPr>
                <w:sz w:val="24"/>
                <w:szCs w:val="24"/>
              </w:rPr>
            </w:pPr>
          </w:p>
        </w:tc>
        <w:tc>
          <w:tcPr>
            <w:tcW w:w="150" w:type="dxa"/>
            <w:vAlign w:val="center"/>
            <w:hideMark/>
          </w:tcPr>
          <w:p w14:paraId="38C83DC1" w14:textId="3C9A3927" w:rsidR="00556141" w:rsidRDefault="00556141">
            <w:pPr>
              <w:rPr>
                <w:sz w:val="24"/>
                <w:szCs w:val="24"/>
              </w:rPr>
            </w:pPr>
            <w:r>
              <w:rPr>
                <w:noProof/>
              </w:rPr>
              <w:lastRenderedPageBreak/>
              <mc:AlternateContent>
                <mc:Choice Requires="wps">
                  <w:drawing>
                    <wp:inline distT="0" distB="0" distL="0" distR="0" wp14:anchorId="234AE375" wp14:editId="3847FBF8">
                      <wp:extent cx="95250" cy="95250"/>
                      <wp:effectExtent l="0" t="0" r="0" b="0"/>
                      <wp:docPr id="34234495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05887"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71F77DF" w14:textId="77777777" w:rsidR="00556141" w:rsidRDefault="00556141" w:rsidP="00556141">
      <w:pPr>
        <w:rPr>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56141" w14:paraId="0CFCF6CB" w14:textId="77777777" w:rsidTr="00556141">
        <w:trPr>
          <w:tblCellSpacing w:w="0" w:type="dxa"/>
        </w:trPr>
        <w:tc>
          <w:tcPr>
            <w:tcW w:w="0" w:type="auto"/>
            <w:vAlign w:val="center"/>
            <w:hideMark/>
          </w:tcPr>
          <w:p w14:paraId="2D466148" w14:textId="01600F29" w:rsidR="00556141" w:rsidRDefault="00556141">
            <w:r>
              <w:rPr>
                <w:noProof/>
              </w:rPr>
              <mc:AlternateContent>
                <mc:Choice Requires="wps">
                  <w:drawing>
                    <wp:inline distT="0" distB="0" distL="0" distR="0" wp14:anchorId="0B04CC62" wp14:editId="33633E76">
                      <wp:extent cx="95250" cy="95250"/>
                      <wp:effectExtent l="0" t="0" r="0" b="0"/>
                      <wp:docPr id="23481360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1E706" id="Rectangl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556141" w14:paraId="54001DA5" w14:textId="77777777">
              <w:trPr>
                <w:tblCellSpacing w:w="0" w:type="dxa"/>
              </w:trPr>
              <w:tc>
                <w:tcPr>
                  <w:tcW w:w="0" w:type="auto"/>
                  <w:gridSpan w:val="3"/>
                  <w:vAlign w:val="center"/>
                  <w:hideMark/>
                </w:tcPr>
                <w:p w14:paraId="000ED4A3" w14:textId="351B3930" w:rsidR="00556141" w:rsidRDefault="00556141">
                  <w:r>
                    <w:rPr>
                      <w:noProof/>
                    </w:rPr>
                    <mc:AlternateContent>
                      <mc:Choice Requires="wps">
                        <w:drawing>
                          <wp:inline distT="0" distB="0" distL="0" distR="0" wp14:anchorId="52218D03" wp14:editId="1102D7BD">
                            <wp:extent cx="44450" cy="44450"/>
                            <wp:effectExtent l="0" t="0" r="0" b="0"/>
                            <wp:docPr id="174024082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C7032" id="Rectangle 6" o:spid="_x0000_s1026" style="width: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" filled="f" stroked="f">
                            <o:lock v:ext="edit" aspectratio="t"/>
                            <w10:anchorlock/>
                          </v:rect>
                        </w:pict>
                      </mc:Fallback>
                    </mc:AlternateContent>
                  </w:r>
                </w:p>
              </w:tc>
            </w:tr>
            <w:tr w:rsidR="00556141" w14:paraId="3C3C34C3" w14:textId="77777777">
              <w:trPr>
                <w:tblCellSpacing w:w="0" w:type="dxa"/>
              </w:trPr>
              <w:tc>
                <w:tcPr>
                  <w:tcW w:w="0" w:type="auto"/>
                  <w:gridSpan w:val="3"/>
                  <w:vAlign w:val="center"/>
                  <w:hideMark/>
                </w:tcPr>
                <w:p w14:paraId="237E3822" w14:textId="77777777" w:rsidR="00556141" w:rsidRDefault="00556141">
                  <w:r>
                    <w:t>Copyright ©2007 The McGraw-Hill Companies. All rights reserved.</w:t>
                  </w:r>
                  <w:r>
                    <w:br/>
                  </w:r>
                  <w:hyperlink r:id="rId9" w:history="1">
                    <w:r>
                      <w:rPr>
                        <w:rStyle w:val="Hyperlink"/>
                      </w:rPr>
                      <w:t>Privacy Notice</w:t>
                    </w:r>
                  </w:hyperlink>
                  <w:r>
                    <w:t xml:space="preserve">. Any use is subject to the </w:t>
                  </w:r>
                  <w:hyperlink r:id="rId10" w:history="1">
                    <w:r>
                      <w:rPr>
                        <w:rStyle w:val="Hyperlink"/>
                      </w:rPr>
                      <w:t>Terms of Use</w:t>
                    </w:r>
                  </w:hyperlink>
                  <w:r>
                    <w:t xml:space="preserve"> and </w:t>
                  </w:r>
                  <w:hyperlink r:id="rId11" w:history="1">
                    <w:r>
                      <w:rPr>
                        <w:rStyle w:val="Hyperlink"/>
                      </w:rPr>
                      <w:t>Notice</w:t>
                    </w:r>
                  </w:hyperlink>
                  <w:r>
                    <w:t xml:space="preserve">. </w:t>
                  </w:r>
                  <w:hyperlink r:id="rId12" w:history="1">
                    <w:r>
                      <w:rPr>
                        <w:rStyle w:val="Hyperlink"/>
                      </w:rPr>
                      <w:t>Additional Credits and Copyright Information</w:t>
                    </w:r>
                  </w:hyperlink>
                  <w:r>
                    <w:t xml:space="preserve">. </w:t>
                  </w:r>
                </w:p>
              </w:tc>
            </w:tr>
            <w:tr w:rsidR="00556141" w14:paraId="40D5AD9E" w14:textId="77777777">
              <w:trPr>
                <w:tblCellSpacing w:w="0" w:type="dxa"/>
              </w:trPr>
              <w:tc>
                <w:tcPr>
                  <w:tcW w:w="0" w:type="auto"/>
                  <w:gridSpan w:val="3"/>
                  <w:vAlign w:val="center"/>
                  <w:hideMark/>
                </w:tcPr>
                <w:p w14:paraId="6CC0F075" w14:textId="64DF5AF6" w:rsidR="00556141" w:rsidRDefault="00556141">
                  <w:r>
                    <w:rPr>
                      <w:noProof/>
                    </w:rPr>
                    <mc:AlternateContent>
                      <mc:Choice Requires="wps">
                        <w:drawing>
                          <wp:inline distT="0" distB="0" distL="0" distR="0" wp14:anchorId="6C2B9BE1" wp14:editId="5AE3812C">
                            <wp:extent cx="44450" cy="44450"/>
                            <wp:effectExtent l="0" t="0" r="0" b="0"/>
                            <wp:docPr id="17751210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23F61" id="Rectangle 5" o:spid="_x0000_s1026" style="width: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" filled="f" stroked="f">
                            <o:lock v:ext="edit" aspectratio="t"/>
                            <w10:anchorlock/>
                          </v:rect>
                        </w:pict>
                      </mc:Fallback>
                    </mc:AlternateContent>
                  </w:r>
                </w:p>
              </w:tc>
            </w:tr>
            <w:tr w:rsidR="00556141" w14:paraId="2390BB10" w14:textId="77777777">
              <w:trPr>
                <w:tblCellSpacing w:w="0" w:type="dxa"/>
              </w:trPr>
              <w:tc>
                <w:tcPr>
                  <w:tcW w:w="0" w:type="auto"/>
                  <w:vAlign w:val="center"/>
                  <w:hideMark/>
                </w:tcPr>
                <w:p w14:paraId="60725CA4" w14:textId="6B6E334A" w:rsidR="00556141" w:rsidRDefault="00556141">
                  <w:r>
                    <w:rPr>
                      <w:noProof/>
                      <w:color w:val="0000FF"/>
                    </w:rPr>
                    <mc:AlternateContent>
                      <mc:Choice Requires="wps">
                        <w:drawing>
                          <wp:inline distT="0" distB="0" distL="0" distR="0" wp14:anchorId="6008073D" wp14:editId="7BBF0D4D">
                            <wp:extent cx="304800" cy="304800"/>
                            <wp:effectExtent l="0" t="0" r="0" b="0"/>
                            <wp:docPr id="765623428" name="Rectangl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44D1A" id="Rectangle 4"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1E58DC0B" w14:textId="2B00D9E3" w:rsidR="00556141" w:rsidRDefault="00556141">
                  <w:pPr>
                    <w:jc w:val="center"/>
                  </w:pPr>
                  <w:r>
                    <w:rPr>
                      <w:noProof/>
                      <w:color w:val="0000FF"/>
                    </w:rPr>
                    <mc:AlternateContent>
                      <mc:Choice Requires="wps">
                        <w:drawing>
                          <wp:inline distT="0" distB="0" distL="0" distR="0" wp14:anchorId="2F0A9CC8" wp14:editId="6F0EEF57">
                            <wp:extent cx="304800" cy="304800"/>
                            <wp:effectExtent l="0" t="0" r="0" b="0"/>
                            <wp:docPr id="107457022" name="Rectangle 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14378" id="Rectangle 3"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51FE4B04" w14:textId="08D7C5DA" w:rsidR="00556141" w:rsidRDefault="00556141">
                  <w:pPr>
                    <w:jc w:val="right"/>
                  </w:pPr>
                  <w:r>
                    <w:rPr>
                      <w:noProof/>
                      <w:color w:val="0000FF"/>
                    </w:rPr>
                    <mc:AlternateContent>
                      <mc:Choice Requires="wps">
                        <w:drawing>
                          <wp:inline distT="0" distB="0" distL="0" distR="0" wp14:anchorId="452D7488" wp14:editId="708A687F">
                            <wp:extent cx="304800" cy="304800"/>
                            <wp:effectExtent l="0" t="0" r="0" b="0"/>
                            <wp:docPr id="1970131865" name="Rectangle 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19E34" id="Rectangle 2"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026509CA" w14:textId="77777777" w:rsidR="00556141" w:rsidRDefault="00556141"/>
        </w:tc>
        <w:tc>
          <w:tcPr>
            <w:tcW w:w="0" w:type="auto"/>
            <w:vAlign w:val="center"/>
            <w:hideMark/>
          </w:tcPr>
          <w:p w14:paraId="79354DF7" w14:textId="39021637" w:rsidR="00556141" w:rsidRDefault="00556141">
            <w:r>
              <w:rPr>
                <w:noProof/>
              </w:rPr>
              <mc:AlternateContent>
                <mc:Choice Requires="wps">
                  <w:drawing>
                    <wp:inline distT="0" distB="0" distL="0" distR="0" wp14:anchorId="7BDC5101" wp14:editId="66E34CB1">
                      <wp:extent cx="95250" cy="95250"/>
                      <wp:effectExtent l="0" t="0" r="0" b="0"/>
                      <wp:docPr id="62864891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381E8"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5F94901A" w14:textId="77777777" w:rsidR="00556141" w:rsidRDefault="00556141" w:rsidP="00556141">
      <w:pPr>
        <w:pStyle w:val="z-BottomofForm"/>
      </w:pPr>
      <w:r>
        <w:t>Bottom of Form</w:t>
      </w:r>
    </w:p>
    <w:p w14:paraId="7B16E577" w14:textId="4DCE3E88" w:rsidR="0023417F" w:rsidRPr="00556141" w:rsidRDefault="0023417F" w:rsidP="00556141">
      <w:pPr>
        <w:rPr>
          <w:rFonts w:eastAsiaTheme="minorHAnsi"/>
          <w:rtl/>
        </w:rPr>
      </w:pPr>
    </w:p>
    <w:sectPr w:rsidR="0023417F" w:rsidRPr="00556141" w:rsidSect="00AB2EF3">
      <w:footerReference w:type="default" r:id="rId16"/>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D3BE6" w14:textId="77777777" w:rsidR="00064249" w:rsidRDefault="00064249">
      <w:r>
        <w:separator/>
      </w:r>
    </w:p>
  </w:endnote>
  <w:endnote w:type="continuationSeparator" w:id="0">
    <w:p w14:paraId="7B5ADFED" w14:textId="77777777" w:rsidR="00064249" w:rsidRDefault="0006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5B531" w14:textId="77777777" w:rsidR="00064249" w:rsidRDefault="00064249">
      <w:r>
        <w:separator/>
      </w:r>
    </w:p>
  </w:footnote>
  <w:footnote w:type="continuationSeparator" w:id="0">
    <w:p w14:paraId="3BC83766" w14:textId="77777777" w:rsidR="00064249" w:rsidRDefault="0006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3DBA"/>
    <w:rsid w:val="000356EA"/>
    <w:rsid w:val="000362C3"/>
    <w:rsid w:val="000443F2"/>
    <w:rsid w:val="00064249"/>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56141"/>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4454"/>
    <w:rsid w:val="0091679E"/>
    <w:rsid w:val="009172C0"/>
    <w:rsid w:val="00924A81"/>
    <w:rsid w:val="00924CEB"/>
    <w:rsid w:val="00926953"/>
    <w:rsid w:val="0092702C"/>
    <w:rsid w:val="00941506"/>
    <w:rsid w:val="00943282"/>
    <w:rsid w:val="009442B9"/>
    <w:rsid w:val="00944735"/>
    <w:rsid w:val="00966643"/>
    <w:rsid w:val="00986AB4"/>
    <w:rsid w:val="00992690"/>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507A2"/>
    <w:rsid w:val="00A510B1"/>
    <w:rsid w:val="00A55E70"/>
    <w:rsid w:val="00A730C7"/>
    <w:rsid w:val="00A76581"/>
    <w:rsid w:val="00A83664"/>
    <w:rsid w:val="00A8366F"/>
    <w:rsid w:val="00A85600"/>
    <w:rsid w:val="00AA5BF6"/>
    <w:rsid w:val="00AB2EF3"/>
    <w:rsid w:val="00AC095E"/>
    <w:rsid w:val="00AD398F"/>
    <w:rsid w:val="00AD6DC8"/>
    <w:rsid w:val="00AD7026"/>
    <w:rsid w:val="00AD779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48195944">
      <w:bodyDiv w:val="1"/>
      <w:marLeft w:val="0"/>
      <w:marRight w:val="0"/>
      <w:marTop w:val="0"/>
      <w:marBottom w:val="0"/>
      <w:divBdr>
        <w:top w:val="none" w:sz="0" w:space="0" w:color="auto"/>
        <w:left w:val="none" w:sz="0" w:space="0" w:color="auto"/>
        <w:bottom w:val="none" w:sz="0" w:space="0" w:color="auto"/>
        <w:right w:val="none" w:sz="0" w:space="0" w:color="auto"/>
      </w:divBdr>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hyperlink" Target="http://www.mheducati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www.accesspharmacy.com/public/additionalcred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pharmacy.com/public/notice.aspx" TargetMode="External"/><Relationship Id="rId5" Type="http://schemas.openxmlformats.org/officeDocument/2006/relationships/footnotes" Target="footnotes.xml"/><Relationship Id="rId15" Type="http://schemas.openxmlformats.org/officeDocument/2006/relationships/hyperlink" Target="http://www.mcgrawhill.com/" TargetMode="External"/><Relationship Id="rId10" Type="http://schemas.openxmlformats.org/officeDocument/2006/relationships/hyperlink" Target="http://www.accesspharmacy.com/public/termsofuse.aspx" TargetMode="External"/><Relationship Id="rId4" Type="http://schemas.openxmlformats.org/officeDocument/2006/relationships/webSettings" Target="webSettings.xml"/><Relationship Id="rId9" Type="http://schemas.openxmlformats.org/officeDocument/2006/relationships/hyperlink" Target="http://www.accesspharmacy.com/public/privacy.aspx" TargetMode="External"/><Relationship Id="rId14" Type="http://schemas.openxmlformats.org/officeDocument/2006/relationships/hyperlink" Target="http://www.silverchai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27</Pages>
  <Words>10886</Words>
  <Characters>62053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69</cp:revision>
  <cp:lastPrinted>2022-07-19T03:16:00Z</cp:lastPrinted>
  <dcterms:created xsi:type="dcterms:W3CDTF">2022-02-22T21:31:00Z</dcterms:created>
  <dcterms:modified xsi:type="dcterms:W3CDTF">2024-10-30T18:58:00Z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