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67" w:rsidRPr="002D3D67" w:rsidRDefault="002D3D67" w:rsidP="002D3D67">
      <w:pPr>
        <w:shd w:val="clear" w:color="auto" w:fill="FFFFFF"/>
        <w:bidi/>
        <w:spacing w:after="0" w:line="259" w:lineRule="atLeast"/>
        <w:jc w:val="center"/>
        <w:rPr>
          <w:rFonts w:ascii="Arial" w:eastAsia="Times New Roman" w:hAnsi="Arial" w:cs="Arial"/>
          <w:color w:val="757575"/>
          <w:sz w:val="23"/>
          <w:szCs w:val="23"/>
        </w:rPr>
      </w:pPr>
      <w:r w:rsidRPr="002D3D67">
        <w:rPr>
          <w:rFonts w:ascii="Arial" w:eastAsia="Times New Roman" w:hAnsi="Arial" w:cs="PT Bold Heading" w:hint="cs"/>
          <w:b/>
          <w:bCs/>
          <w:color w:val="757575"/>
          <w:sz w:val="32"/>
          <w:szCs w:val="32"/>
          <w:rtl/>
        </w:rPr>
        <w:br/>
        <w:t>الفصل الثالث</w:t>
      </w:r>
    </w:p>
    <w:p w:rsidR="002D3D67" w:rsidRPr="002D3D67" w:rsidRDefault="002D3D67" w:rsidP="002D3D67">
      <w:pPr>
        <w:shd w:val="clear" w:color="auto" w:fill="FFFFFF"/>
        <w:bidi/>
        <w:spacing w:after="0" w:line="259" w:lineRule="atLeast"/>
        <w:jc w:val="center"/>
        <w:rPr>
          <w:rFonts w:ascii="Arial" w:eastAsia="Times New Roman" w:hAnsi="Arial" w:cs="Arial"/>
          <w:color w:val="757575"/>
          <w:sz w:val="23"/>
          <w:szCs w:val="23"/>
          <w:rtl/>
        </w:rPr>
      </w:pPr>
      <w:r w:rsidRPr="002D3D67">
        <w:rPr>
          <w:rFonts w:ascii="Arial" w:eastAsia="Times New Roman" w:hAnsi="Arial" w:cs="PT Bold Heading" w:hint="cs"/>
          <w:b/>
          <w:bCs/>
          <w:color w:val="757575"/>
          <w:sz w:val="32"/>
          <w:szCs w:val="32"/>
          <w:rtl/>
        </w:rPr>
        <w:t>الجرائم المخلة بالأخلاق و الآداب العامة</w:t>
      </w:r>
    </w:p>
    <w:p w:rsidR="002D3D67" w:rsidRPr="002D3D67" w:rsidRDefault="002D3D67" w:rsidP="002D3D67">
      <w:pPr>
        <w:shd w:val="clear" w:color="auto" w:fill="FFFFFF"/>
        <w:bidi/>
        <w:spacing w:after="0" w:line="259" w:lineRule="atLeast"/>
        <w:jc w:val="center"/>
        <w:rPr>
          <w:rFonts w:ascii="Arial" w:eastAsia="Times New Roman" w:hAnsi="Arial" w:cs="Arial"/>
          <w:color w:val="757575"/>
          <w:sz w:val="23"/>
          <w:szCs w:val="23"/>
          <w:rtl/>
        </w:rPr>
      </w:pPr>
    </w:p>
    <w:p w:rsidR="002D3D67" w:rsidRPr="002D3D67" w:rsidRDefault="002D3D67" w:rsidP="002D3D67">
      <w:pPr>
        <w:shd w:val="clear" w:color="auto" w:fill="FFFFFF"/>
        <w:bidi/>
        <w:spacing w:after="0" w:line="259" w:lineRule="atLeast"/>
        <w:jc w:val="both"/>
        <w:rPr>
          <w:rFonts w:ascii="Arial" w:eastAsia="Times New Roman" w:hAnsi="Arial" w:cs="Arial"/>
          <w:color w:val="757575"/>
          <w:sz w:val="23"/>
          <w:szCs w:val="23"/>
          <w:rtl/>
        </w:rPr>
      </w:pPr>
      <w:r w:rsidRPr="002D3D67">
        <w:rPr>
          <w:rFonts w:ascii="Arial" w:eastAsia="Times New Roman" w:hAnsi="Arial" w:cs="PT Bold Heading" w:hint="cs"/>
          <w:b/>
          <w:bCs/>
          <w:color w:val="757575"/>
          <w:sz w:val="28"/>
          <w:szCs w:val="28"/>
          <w:rtl/>
        </w:rPr>
        <w:t>المبحث الأول: جريمة الاغتصاب واللواط:</w:t>
      </w:r>
      <w:r w:rsidRPr="002D3D67">
        <w:rPr>
          <w:rFonts w:ascii="Simplified Arabic" w:eastAsia="Times New Roman" w:hAnsi="Simplified Arabic" w:cs="Simplified Arabic"/>
          <w:color w:val="757575"/>
          <w:sz w:val="28"/>
          <w:szCs w:val="28"/>
          <w:rtl/>
        </w:rPr>
        <w:t> تناول قانون العقوبات العراقي رقم 111 لسنة 1969 المعدل هذه الجرائم في المواد </w:t>
      </w:r>
      <w:r w:rsidRPr="002D3D67">
        <w:rPr>
          <w:rFonts w:ascii="Simplified Arabic" w:eastAsia="Times New Roman" w:hAnsi="Simplified Arabic" w:cs="Simplified Arabic"/>
          <w:b/>
          <w:bCs/>
          <w:color w:val="757575"/>
          <w:sz w:val="28"/>
          <w:szCs w:val="28"/>
          <w:rtl/>
        </w:rPr>
        <w:t>393- 394</w:t>
      </w:r>
      <w:r w:rsidRPr="002D3D67">
        <w:rPr>
          <w:rFonts w:ascii="Simplified Arabic" w:eastAsia="Times New Roman" w:hAnsi="Simplified Arabic" w:cs="Simplified Arabic"/>
          <w:color w:val="757575"/>
          <w:sz w:val="28"/>
          <w:szCs w:val="28"/>
          <w:rtl/>
        </w:rPr>
        <w:t>، حيث عاقب في المادة </w:t>
      </w:r>
      <w:r w:rsidRPr="002D3D67">
        <w:rPr>
          <w:rFonts w:ascii="Simplified Arabic" w:eastAsia="Times New Roman" w:hAnsi="Simplified Arabic" w:cs="Simplified Arabic"/>
          <w:b/>
          <w:bCs/>
          <w:color w:val="757575"/>
          <w:sz w:val="28"/>
          <w:szCs w:val="28"/>
          <w:rtl/>
        </w:rPr>
        <w:t>393</w:t>
      </w:r>
      <w:r w:rsidRPr="002D3D67">
        <w:rPr>
          <w:rFonts w:ascii="Simplified Arabic" w:eastAsia="Times New Roman" w:hAnsi="Simplified Arabic" w:cs="Simplified Arabic"/>
          <w:color w:val="757575"/>
          <w:sz w:val="28"/>
          <w:szCs w:val="28"/>
          <w:rtl/>
        </w:rPr>
        <w:t> مرتكب هذه الجرائم في حالة عدم رضا المجنى عليه، وفي المادة 394 عاقب مرتكب هذه الجرائم في حالة وقوعها على ذكر أو انثى أتما الخامسة عشرة ولم يتما الثامنة عشرة سنة كاملة برضاهما.</w:t>
      </w:r>
    </w:p>
    <w:p w:rsidR="002D3D67" w:rsidRPr="002D3D67" w:rsidRDefault="002D3D67" w:rsidP="002D3D67">
      <w:pPr>
        <w:shd w:val="clear" w:color="auto" w:fill="FFFFFF"/>
        <w:bidi/>
        <w:spacing w:after="0" w:line="259" w:lineRule="atLeast"/>
        <w:jc w:val="both"/>
        <w:rPr>
          <w:rFonts w:ascii="Arial" w:eastAsia="Times New Roman" w:hAnsi="Arial" w:cs="Arial"/>
          <w:color w:val="757575"/>
          <w:sz w:val="23"/>
          <w:szCs w:val="23"/>
          <w:rtl/>
        </w:rPr>
      </w:pPr>
    </w:p>
    <w:p w:rsidR="002D3D67" w:rsidRPr="002D3D67" w:rsidRDefault="002D3D67" w:rsidP="002D3D67">
      <w:pPr>
        <w:shd w:val="clear" w:color="auto" w:fill="FFFFFF"/>
        <w:bidi/>
        <w:spacing w:after="0" w:line="259" w:lineRule="atLeast"/>
        <w:jc w:val="both"/>
        <w:rPr>
          <w:rFonts w:ascii="Arial" w:eastAsia="Times New Roman" w:hAnsi="Arial" w:cs="Arial"/>
          <w:color w:val="757575"/>
          <w:sz w:val="23"/>
          <w:szCs w:val="23"/>
          <w:rtl/>
        </w:rPr>
      </w:pPr>
      <w:r w:rsidRPr="002D3D67">
        <w:rPr>
          <w:rFonts w:ascii="Arial" w:eastAsia="Times New Roman" w:hAnsi="Arial" w:cs="PT Bold Heading" w:hint="cs"/>
          <w:b/>
          <w:bCs/>
          <w:color w:val="757575"/>
          <w:sz w:val="28"/>
          <w:szCs w:val="28"/>
          <w:rtl/>
        </w:rPr>
        <w:t xml:space="preserve">المبحث الثاني: جريمة </w:t>
      </w:r>
      <w:proofErr w:type="spellStart"/>
      <w:r w:rsidRPr="002D3D67">
        <w:rPr>
          <w:rFonts w:ascii="Arial" w:eastAsia="Times New Roman" w:hAnsi="Arial" w:cs="PT Bold Heading" w:hint="cs"/>
          <w:b/>
          <w:bCs/>
          <w:color w:val="757575"/>
          <w:sz w:val="28"/>
          <w:szCs w:val="28"/>
          <w:rtl/>
        </w:rPr>
        <w:t>المواقعة</w:t>
      </w:r>
      <w:proofErr w:type="spellEnd"/>
      <w:r w:rsidRPr="002D3D67">
        <w:rPr>
          <w:rFonts w:ascii="Arial" w:eastAsia="Times New Roman" w:hAnsi="Arial" w:cs="PT Bold Heading" w:hint="cs"/>
          <w:b/>
          <w:bCs/>
          <w:color w:val="757575"/>
          <w:sz w:val="28"/>
          <w:szCs w:val="28"/>
          <w:rtl/>
        </w:rPr>
        <w:t xml:space="preserve"> بالإغواء بوعد الزواج:</w:t>
      </w:r>
      <w:r w:rsidRPr="002D3D67">
        <w:rPr>
          <w:rFonts w:ascii="Simplified Arabic" w:eastAsia="Times New Roman" w:hAnsi="Simplified Arabic" w:cs="Simplified Arabic"/>
          <w:color w:val="757575"/>
          <w:sz w:val="28"/>
          <w:szCs w:val="28"/>
          <w:rtl/>
        </w:rPr>
        <w:t> أما في المادة </w:t>
      </w:r>
      <w:r w:rsidRPr="002D3D67">
        <w:rPr>
          <w:rFonts w:ascii="Simplified Arabic" w:eastAsia="Times New Roman" w:hAnsi="Simplified Arabic" w:cs="Simplified Arabic"/>
          <w:b/>
          <w:bCs/>
          <w:color w:val="757575"/>
          <w:sz w:val="28"/>
          <w:szCs w:val="28"/>
          <w:rtl/>
        </w:rPr>
        <w:t>395</w:t>
      </w:r>
      <w:r w:rsidRPr="002D3D67">
        <w:rPr>
          <w:rFonts w:ascii="Simplified Arabic" w:eastAsia="Times New Roman" w:hAnsi="Simplified Arabic" w:cs="Simplified Arabic"/>
          <w:color w:val="757575"/>
          <w:sz w:val="28"/>
          <w:szCs w:val="28"/>
          <w:rtl/>
        </w:rPr>
        <w:t> فقد عاقب من يواقع انثى بعد اغوائها بوعد الزواج ثم يرفض التزوج بها.</w:t>
      </w:r>
    </w:p>
    <w:p w:rsidR="002D3D67" w:rsidRPr="002D3D67" w:rsidRDefault="002D3D67" w:rsidP="002D3D67">
      <w:pPr>
        <w:shd w:val="clear" w:color="auto" w:fill="FFFFFF"/>
        <w:bidi/>
        <w:spacing w:after="0" w:line="259" w:lineRule="atLeast"/>
        <w:jc w:val="both"/>
        <w:rPr>
          <w:rFonts w:ascii="Arial" w:eastAsia="Times New Roman" w:hAnsi="Arial" w:cs="Arial"/>
          <w:color w:val="757575"/>
          <w:sz w:val="23"/>
          <w:szCs w:val="23"/>
          <w:rtl/>
        </w:rPr>
      </w:pPr>
    </w:p>
    <w:p w:rsidR="002D3D67" w:rsidRPr="002D3D67" w:rsidRDefault="002D3D67" w:rsidP="002D3D67">
      <w:pPr>
        <w:shd w:val="clear" w:color="auto" w:fill="FFFFFF"/>
        <w:bidi/>
        <w:spacing w:after="0" w:line="259" w:lineRule="atLeast"/>
        <w:jc w:val="both"/>
        <w:rPr>
          <w:rFonts w:ascii="Arial" w:eastAsia="Times New Roman" w:hAnsi="Arial" w:cs="Arial"/>
          <w:color w:val="757575"/>
          <w:sz w:val="23"/>
          <w:szCs w:val="23"/>
          <w:rtl/>
        </w:rPr>
      </w:pPr>
      <w:r w:rsidRPr="002D3D67">
        <w:rPr>
          <w:rFonts w:ascii="Arial" w:eastAsia="Times New Roman" w:hAnsi="Arial" w:cs="PT Bold Heading" w:hint="cs"/>
          <w:b/>
          <w:bCs/>
          <w:color w:val="757575"/>
          <w:sz w:val="28"/>
          <w:szCs w:val="28"/>
          <w:rtl/>
        </w:rPr>
        <w:t>المبحث الثالث: جريمة هتك العرض:</w:t>
      </w:r>
      <w:r w:rsidRPr="002D3D67">
        <w:rPr>
          <w:rFonts w:ascii="Simplified Arabic" w:eastAsia="Times New Roman" w:hAnsi="Simplified Arabic" w:cs="Simplified Arabic"/>
          <w:color w:val="757575"/>
          <w:sz w:val="28"/>
          <w:szCs w:val="28"/>
          <w:rtl/>
        </w:rPr>
        <w:t> عالج المشرع جرائم هتك العرض في المادتين </w:t>
      </w:r>
      <w:r w:rsidRPr="002D3D67">
        <w:rPr>
          <w:rFonts w:ascii="Simplified Arabic" w:eastAsia="Times New Roman" w:hAnsi="Simplified Arabic" w:cs="Simplified Arabic"/>
          <w:b/>
          <w:bCs/>
          <w:color w:val="757575"/>
          <w:sz w:val="28"/>
          <w:szCs w:val="28"/>
          <w:rtl/>
        </w:rPr>
        <w:t>396</w:t>
      </w:r>
      <w:r w:rsidRPr="002D3D67">
        <w:rPr>
          <w:rFonts w:ascii="Simplified Arabic" w:eastAsia="Times New Roman" w:hAnsi="Simplified Arabic" w:cs="Simplified Arabic"/>
          <w:color w:val="757575"/>
          <w:sz w:val="28"/>
          <w:szCs w:val="28"/>
          <w:rtl/>
        </w:rPr>
        <w:t> و </w:t>
      </w:r>
      <w:r w:rsidRPr="002D3D67">
        <w:rPr>
          <w:rFonts w:ascii="Simplified Arabic" w:eastAsia="Times New Roman" w:hAnsi="Simplified Arabic" w:cs="Simplified Arabic"/>
          <w:b/>
          <w:bCs/>
          <w:color w:val="757575"/>
          <w:sz w:val="28"/>
          <w:szCs w:val="28"/>
          <w:rtl/>
        </w:rPr>
        <w:t>397</w:t>
      </w:r>
      <w:r w:rsidRPr="002D3D67">
        <w:rPr>
          <w:rFonts w:ascii="Simplified Arabic" w:eastAsia="Times New Roman" w:hAnsi="Simplified Arabic" w:cs="Simplified Arabic"/>
          <w:color w:val="757575"/>
          <w:sz w:val="28"/>
          <w:szCs w:val="28"/>
          <w:rtl/>
        </w:rPr>
        <w:t> من قانون العقوبات العراقي رقم 111 لسنة 1969 المعدل، حيث عالج في المادة </w:t>
      </w:r>
      <w:r w:rsidRPr="002D3D67">
        <w:rPr>
          <w:rFonts w:ascii="Simplified Arabic" w:eastAsia="Times New Roman" w:hAnsi="Simplified Arabic" w:cs="Simplified Arabic"/>
          <w:b/>
          <w:bCs/>
          <w:color w:val="757575"/>
          <w:sz w:val="28"/>
          <w:szCs w:val="28"/>
          <w:rtl/>
        </w:rPr>
        <w:t>396</w:t>
      </w:r>
      <w:r w:rsidRPr="002D3D67">
        <w:rPr>
          <w:rFonts w:ascii="Simplified Arabic" w:eastAsia="Times New Roman" w:hAnsi="Simplified Arabic" w:cs="Simplified Arabic"/>
          <w:color w:val="757575"/>
          <w:sz w:val="28"/>
          <w:szCs w:val="28"/>
          <w:rtl/>
        </w:rPr>
        <w:t> هتك العرض المصحوب بالقوة والتهديد أو بالحيلة أو بأي وجه آخر من أوجه عدم الرضا، وفي المادة </w:t>
      </w:r>
      <w:r w:rsidRPr="002D3D67">
        <w:rPr>
          <w:rFonts w:ascii="Simplified Arabic" w:eastAsia="Times New Roman" w:hAnsi="Simplified Arabic" w:cs="Simplified Arabic"/>
          <w:b/>
          <w:bCs/>
          <w:color w:val="757575"/>
          <w:sz w:val="28"/>
          <w:szCs w:val="28"/>
          <w:rtl/>
        </w:rPr>
        <w:t>397 </w:t>
      </w:r>
      <w:r w:rsidRPr="002D3D67">
        <w:rPr>
          <w:rFonts w:ascii="Simplified Arabic" w:eastAsia="Times New Roman" w:hAnsi="Simplified Arabic" w:cs="Simplified Arabic"/>
          <w:color w:val="757575"/>
          <w:sz w:val="28"/>
          <w:szCs w:val="28"/>
          <w:rtl/>
        </w:rPr>
        <w:t>عالج هتك العرض بغير قوة أو تهديد أو حيلة.</w:t>
      </w:r>
    </w:p>
    <w:p w:rsidR="002D3D67" w:rsidRPr="002D3D67" w:rsidRDefault="002D3D67" w:rsidP="002D3D67">
      <w:pPr>
        <w:shd w:val="clear" w:color="auto" w:fill="FFFFFF"/>
        <w:bidi/>
        <w:spacing w:after="0" w:line="259" w:lineRule="atLeast"/>
        <w:jc w:val="both"/>
        <w:rPr>
          <w:rFonts w:ascii="Arial" w:eastAsia="Times New Roman" w:hAnsi="Arial" w:cs="Arial"/>
          <w:color w:val="757575"/>
          <w:sz w:val="23"/>
          <w:szCs w:val="23"/>
          <w:rtl/>
        </w:rPr>
      </w:pPr>
      <w:r w:rsidRPr="002D3D67">
        <w:rPr>
          <w:rFonts w:ascii="Simplified Arabic" w:eastAsia="Times New Roman" w:hAnsi="Simplified Arabic" w:cs="Simplified Arabic"/>
          <w:color w:val="757575"/>
          <w:sz w:val="28"/>
          <w:szCs w:val="28"/>
          <w:rtl/>
        </w:rPr>
        <w:t xml:space="preserve">ويُقصد بجريمة هتك العرض: (كل فعل منافٍ للآداب يقع مباشرة على جسم المجنى عليه أو عليها ولا يصل الى مرتبة فعل </w:t>
      </w:r>
      <w:proofErr w:type="spellStart"/>
      <w:r w:rsidRPr="002D3D67">
        <w:rPr>
          <w:rFonts w:ascii="Simplified Arabic" w:eastAsia="Times New Roman" w:hAnsi="Simplified Arabic" w:cs="Simplified Arabic"/>
          <w:color w:val="757575"/>
          <w:sz w:val="28"/>
          <w:szCs w:val="28"/>
          <w:rtl/>
        </w:rPr>
        <w:t>المواقعة</w:t>
      </w:r>
      <w:proofErr w:type="spellEnd"/>
      <w:r w:rsidRPr="002D3D67">
        <w:rPr>
          <w:rFonts w:ascii="Simplified Arabic" w:eastAsia="Times New Roman" w:hAnsi="Simplified Arabic" w:cs="Simplified Arabic"/>
          <w:color w:val="757575"/>
          <w:sz w:val="28"/>
          <w:szCs w:val="28"/>
          <w:rtl/>
        </w:rPr>
        <w:t xml:space="preserve"> أو اللواطة أو الشروع بهما).</w:t>
      </w:r>
      <w:r w:rsidRPr="002D3D67">
        <w:rPr>
          <w:rFonts w:ascii="Simplified Arabic" w:eastAsia="Times New Roman" w:hAnsi="Simplified Arabic" w:cs="Simplified Arabic"/>
          <w:b/>
          <w:bCs/>
          <w:color w:val="757575"/>
          <w:sz w:val="21"/>
          <w:szCs w:val="21"/>
          <w:vertAlign w:val="subscript"/>
          <w:rtl/>
        </w:rPr>
        <w:t>(د. واثبة السعدي: م. س، ص76-77).</w:t>
      </w:r>
    </w:p>
    <w:p w:rsidR="00172069" w:rsidRDefault="00172069">
      <w:bookmarkStart w:id="0" w:name="_GoBack"/>
      <w:bookmarkEnd w:id="0"/>
    </w:p>
    <w:sectPr w:rsidR="00172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67"/>
    <w:rsid w:val="00172069"/>
    <w:rsid w:val="002D3D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xComputer</dc:creator>
  <cp:lastModifiedBy>xComputer</cp:lastModifiedBy>
  <cp:revision>2</cp:revision>
  <dcterms:created xsi:type="dcterms:W3CDTF">2024-03-23T13:08:00Z</dcterms:created>
  <dcterms:modified xsi:type="dcterms:W3CDTF">2024-03-23T13:09:00Z</dcterms:modified>
</cp:coreProperties>
</file>