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2F8F" w14:textId="4765BA72" w:rsidR="006F39EE" w:rsidRPr="006F39EE" w:rsidRDefault="00732BE5" w:rsidP="006F39EE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="006F39EE" w:rsidRPr="006F39EE">
        <w:rPr>
          <w:rFonts w:cs="Arial"/>
          <w:rtl/>
        </w:rPr>
        <w:t xml:space="preserve">19 - القاعدة اذا تعارض المانع والمقتضي يقدم المانع </w:t>
      </w:r>
    </w:p>
    <w:p w14:paraId="2C305D90" w14:textId="77777777" w:rsidR="006F39EE" w:rsidRPr="006F39EE" w:rsidRDefault="006F39EE" w:rsidP="006F39EE">
      <w:pPr>
        <w:rPr>
          <w:rFonts w:cs="Arial"/>
          <w:rtl/>
        </w:rPr>
      </w:pPr>
    </w:p>
    <w:p w14:paraId="56822445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مضمون هذه القاعدة هو انه اذا تعارض امران احدهما سبب يقتضى اعتبار عمل</w:t>
      </w:r>
    </w:p>
    <w:p w14:paraId="59B6456E" w14:textId="77777777" w:rsidR="006F39EE" w:rsidRPr="006F39EE" w:rsidRDefault="006F39EE" w:rsidP="006F39EE">
      <w:pPr>
        <w:rPr>
          <w:rFonts w:cs="Arial"/>
          <w:rtl/>
        </w:rPr>
      </w:pPr>
    </w:p>
    <w:p w14:paraId="4092690C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والثاني مانع يقتضى عدم اعتباره، فيرجح المانع على المقتضي، لأن السبب لا يترتب</w:t>
      </w:r>
    </w:p>
    <w:p w14:paraId="4BD4D444" w14:textId="77777777" w:rsidR="006F39EE" w:rsidRPr="006F39EE" w:rsidRDefault="006F39EE" w:rsidP="006F39EE">
      <w:pPr>
        <w:rPr>
          <w:rFonts w:cs="Arial"/>
          <w:rtl/>
        </w:rPr>
      </w:pPr>
    </w:p>
    <w:p w14:paraId="3EE0058D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عليه الأحكام ما لم تتوفر شروطه وتنتفى موانعه.</w:t>
      </w:r>
    </w:p>
    <w:p w14:paraId="3341CBB0" w14:textId="77777777" w:rsidR="006F39EE" w:rsidRPr="006F39EE" w:rsidRDefault="006F39EE" w:rsidP="006F39EE">
      <w:pPr>
        <w:rPr>
          <w:rFonts w:cs="Arial"/>
          <w:rtl/>
        </w:rPr>
      </w:pPr>
    </w:p>
    <w:p w14:paraId="7E2FF421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الأحكام المترتبة على هذه القاعدة:</w:t>
      </w:r>
    </w:p>
    <w:p w14:paraId="10B583FC" w14:textId="77777777" w:rsidR="006F39EE" w:rsidRPr="006F39EE" w:rsidRDefault="006F39EE" w:rsidP="006F39EE">
      <w:pPr>
        <w:rPr>
          <w:rFonts w:cs="Arial"/>
          <w:rtl/>
        </w:rPr>
      </w:pPr>
    </w:p>
    <w:p w14:paraId="1E9526E7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يتفرع عن هذه القاعدة أحكام فرعية منها :</w:t>
      </w:r>
    </w:p>
    <w:p w14:paraId="5B0222EA" w14:textId="77777777" w:rsidR="006F39EE" w:rsidRPr="006F39EE" w:rsidRDefault="006F39EE" w:rsidP="006F39EE">
      <w:pPr>
        <w:rPr>
          <w:rFonts w:cs="Arial"/>
          <w:rtl/>
        </w:rPr>
      </w:pPr>
    </w:p>
    <w:p w14:paraId="7C025148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أ- اذا باع المدين الراهن المال المرهون المحبوس لدى الدائن المرتهن، لا ينفذ العقد</w:t>
      </w:r>
    </w:p>
    <w:p w14:paraId="7FF53508" w14:textId="77777777" w:rsidR="006F39EE" w:rsidRPr="006F39EE" w:rsidRDefault="006F39EE" w:rsidP="006F39EE">
      <w:pPr>
        <w:rPr>
          <w:rFonts w:cs="Arial"/>
          <w:rtl/>
        </w:rPr>
      </w:pPr>
    </w:p>
    <w:p w14:paraId="7D007A19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بل يكون موقوفاً على إجازة الدائن المرتهن لتعلق حقه به، ولو اعتبر نافذاً لزال</w:t>
      </w:r>
    </w:p>
    <w:p w14:paraId="16591D93" w14:textId="77777777" w:rsidR="006F39EE" w:rsidRPr="006F39EE" w:rsidRDefault="006F39EE" w:rsidP="006F39EE">
      <w:pPr>
        <w:rPr>
          <w:rFonts w:cs="Arial"/>
          <w:rtl/>
        </w:rPr>
      </w:pPr>
    </w:p>
    <w:p w14:paraId="73D05A0E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الحبس الذي هو من أحكام الرهن، فملكية المدين للمرهون سبب مقتض الجواز</w:t>
      </w:r>
    </w:p>
    <w:p w14:paraId="1B1BBA22" w14:textId="77777777" w:rsidR="006F39EE" w:rsidRPr="006F39EE" w:rsidRDefault="006F39EE" w:rsidP="006F39EE">
      <w:pPr>
        <w:rPr>
          <w:rFonts w:cs="Arial"/>
          <w:rtl/>
        </w:rPr>
      </w:pPr>
    </w:p>
    <w:p w14:paraId="11C0652C" w14:textId="77777777" w:rsidR="006F39EE" w:rsidRPr="006F39EE" w:rsidRDefault="006F39EE" w:rsidP="006F39EE">
      <w:pPr>
        <w:rPr>
          <w:rFonts w:cs="Arial"/>
          <w:rtl/>
        </w:rPr>
      </w:pPr>
      <w:r w:rsidRPr="006F39EE">
        <w:rPr>
          <w:rFonts w:cs="Arial"/>
          <w:rtl/>
        </w:rPr>
        <w:t>ونفاذ التصرف فيه، وتعلق حق الدائن به مانع من نفاذه في الفقه الإسلامي</w:t>
      </w:r>
    </w:p>
    <w:p w14:paraId="1CF61304" w14:textId="77777777" w:rsidR="006F39EE" w:rsidRPr="006F39EE" w:rsidRDefault="006F39EE" w:rsidP="006F39EE">
      <w:pPr>
        <w:rPr>
          <w:rFonts w:cs="Arial"/>
          <w:rtl/>
        </w:rPr>
      </w:pPr>
    </w:p>
    <w:p w14:paraId="1EAF9C25" w14:textId="012F649E" w:rsidR="00AE675D" w:rsidRPr="00374A83" w:rsidRDefault="006F39EE" w:rsidP="00374A83">
      <w:pPr>
        <w:rPr>
          <w:rFonts w:cs="Arial"/>
        </w:rPr>
      </w:pPr>
      <w:r w:rsidRPr="006F39EE">
        <w:rPr>
          <w:rFonts w:cs="Arial"/>
          <w:rtl/>
        </w:rPr>
        <w:t>فيقدم المانع على المقتضى</w:t>
      </w:r>
      <w:r>
        <w:rPr>
          <w:rFonts w:cs="Arial" w:hint="cs"/>
          <w:rtl/>
        </w:rPr>
        <w:t xml:space="preserve"> </w:t>
      </w:r>
    </w:p>
    <w:sectPr w:rsidR="00AE675D" w:rsidRPr="00374A83" w:rsidSect="00AE6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D"/>
    <w:rsid w:val="00374A83"/>
    <w:rsid w:val="004071D6"/>
    <w:rsid w:val="00474F5C"/>
    <w:rsid w:val="0065237C"/>
    <w:rsid w:val="00697CAC"/>
    <w:rsid w:val="006F2B83"/>
    <w:rsid w:val="006F39EE"/>
    <w:rsid w:val="00732BE5"/>
    <w:rsid w:val="007B3A6A"/>
    <w:rsid w:val="00AE675D"/>
    <w:rsid w:val="00E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1B0EB18"/>
  <w15:chartTrackingRefBased/>
  <w15:docId w15:val="{04610568-2B7D-0C45-A2C6-193ABE1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muna.mohammed.khadim@uomus.edu.iq</cp:lastModifiedBy>
  <cp:revision>2</cp:revision>
  <dcterms:created xsi:type="dcterms:W3CDTF">2024-03-23T22:38:00Z</dcterms:created>
  <dcterms:modified xsi:type="dcterms:W3CDTF">2024-03-23T22:38:00Z</dcterms:modified>
</cp:coreProperties>
</file>