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9C35" w14:textId="2ABC0DB1" w:rsidR="00F73497" w:rsidRPr="00F73497" w:rsidRDefault="006F39EE" w:rsidP="00F73497">
      <w:pPr>
        <w:rPr>
          <w:rFonts w:cs="Arial"/>
          <w:rtl/>
        </w:rPr>
      </w:pPr>
      <w:r>
        <w:rPr>
          <w:rFonts w:cs="Arial" w:hint="cs"/>
          <w:rtl/>
        </w:rPr>
        <w:t xml:space="preserve"> </w:t>
      </w:r>
      <w:r w:rsidR="00F73497" w:rsidRPr="00F73497">
        <w:rPr>
          <w:rFonts w:cs="Arial"/>
          <w:rtl/>
        </w:rPr>
        <w:t>القاعدة الممتنع عادة كالممتنع حقيقة</w:t>
      </w:r>
      <w:r w:rsidR="005D5645">
        <w:rPr>
          <w:rFonts w:cs="Arial" w:hint="cs"/>
          <w:rtl/>
        </w:rPr>
        <w:t xml:space="preserve"> </w:t>
      </w:r>
    </w:p>
    <w:p w14:paraId="3503420B" w14:textId="77777777" w:rsidR="00F73497" w:rsidRPr="00F73497" w:rsidRDefault="00F73497" w:rsidP="00F73497">
      <w:pPr>
        <w:rPr>
          <w:rFonts w:cs="Arial"/>
          <w:rtl/>
        </w:rPr>
      </w:pPr>
    </w:p>
    <w:p w14:paraId="590980F4" w14:textId="77777777" w:rsidR="00F73497" w:rsidRPr="00F73497" w:rsidRDefault="00F73497" w:rsidP="00F73497">
      <w:pPr>
        <w:rPr>
          <w:rFonts w:cs="Arial"/>
          <w:rtl/>
        </w:rPr>
      </w:pPr>
      <w:r w:rsidRPr="00F73497">
        <w:rPr>
          <w:rFonts w:cs="Arial"/>
          <w:rtl/>
        </w:rPr>
        <w:t>منطوق القاعدة: ان ما كان حسب العادة من الأمور الممتنع وقوعها، فإنه يعتبر</w:t>
      </w:r>
    </w:p>
    <w:p w14:paraId="5CA4EC20" w14:textId="77777777" w:rsidR="00F73497" w:rsidRPr="00F73497" w:rsidRDefault="00F73497" w:rsidP="00F73497">
      <w:pPr>
        <w:rPr>
          <w:rFonts w:cs="Arial"/>
          <w:rtl/>
        </w:rPr>
      </w:pPr>
    </w:p>
    <w:p w14:paraId="3E037F83" w14:textId="77777777" w:rsidR="00F73497" w:rsidRPr="00F73497" w:rsidRDefault="00F73497" w:rsidP="00F73497">
      <w:pPr>
        <w:rPr>
          <w:rFonts w:cs="Arial"/>
          <w:rtl/>
        </w:rPr>
      </w:pPr>
      <w:r w:rsidRPr="00F73497">
        <w:rPr>
          <w:rFonts w:cs="Arial"/>
          <w:rtl/>
        </w:rPr>
        <w:t>بحكم الممتنع في نفس الامر.</w:t>
      </w:r>
    </w:p>
    <w:p w14:paraId="3D4A6D32" w14:textId="64850FD1" w:rsidR="00F73497" w:rsidRPr="00F73497" w:rsidRDefault="00F73497" w:rsidP="00737DCD">
      <w:pPr>
        <w:rPr>
          <w:rFonts w:cs="Arial"/>
          <w:rtl/>
        </w:rPr>
      </w:pPr>
    </w:p>
    <w:p w14:paraId="6B4BDE6B" w14:textId="77777777" w:rsidR="00F73497" w:rsidRPr="00F73497" w:rsidRDefault="00F73497" w:rsidP="00F73497">
      <w:pPr>
        <w:rPr>
          <w:rFonts w:cs="Arial"/>
          <w:rtl/>
        </w:rPr>
      </w:pPr>
    </w:p>
    <w:p w14:paraId="58A0A51B" w14:textId="77777777" w:rsidR="00F73497" w:rsidRPr="00F73497" w:rsidRDefault="00F73497" w:rsidP="00F73497">
      <w:pPr>
        <w:rPr>
          <w:rFonts w:cs="Arial"/>
          <w:rtl/>
        </w:rPr>
      </w:pPr>
      <w:r w:rsidRPr="00F73497">
        <w:rPr>
          <w:rFonts w:cs="Arial"/>
          <w:rtl/>
        </w:rPr>
        <w:t>الأحكام المترتبة على هذه القاعدة:</w:t>
      </w:r>
    </w:p>
    <w:p w14:paraId="25EAEEC7" w14:textId="77777777" w:rsidR="00F73497" w:rsidRPr="00F73497" w:rsidRDefault="00F73497" w:rsidP="00F73497">
      <w:pPr>
        <w:rPr>
          <w:rFonts w:cs="Arial"/>
          <w:rtl/>
        </w:rPr>
      </w:pPr>
    </w:p>
    <w:p w14:paraId="40D70655" w14:textId="77777777" w:rsidR="00F73497" w:rsidRPr="00F73497" w:rsidRDefault="00F73497" w:rsidP="00F73497">
      <w:pPr>
        <w:rPr>
          <w:rFonts w:cs="Arial"/>
          <w:rtl/>
        </w:rPr>
      </w:pPr>
      <w:r w:rsidRPr="00F73497">
        <w:rPr>
          <w:rFonts w:cs="Arial"/>
          <w:rtl/>
        </w:rPr>
        <w:t>وتتفرع عن هذه القاعدة عدة أحكام فرعية منها : أ- لو ادعى شخص معروف بالفقر أنه قد أقرض فلاناً مبلغاً كبيراً كذا من النقود دفعة واحدة فعلى القاضي أن يرد دعواه، لإمتناع المدعى به عادة وكذلك ترد دعواه، إن قال ان فلاناً قد غصب من أملاكه كذا ، أو من أغنامه كذا ، لأن المغصوب منه معدم ولا يملك شيئا.</w:t>
      </w:r>
    </w:p>
    <w:p w14:paraId="141AD402" w14:textId="77777777" w:rsidR="00F73497" w:rsidRPr="00F73497" w:rsidRDefault="00F73497" w:rsidP="00F73497">
      <w:pPr>
        <w:rPr>
          <w:rFonts w:cs="Arial"/>
          <w:rtl/>
        </w:rPr>
      </w:pPr>
    </w:p>
    <w:p w14:paraId="6443FE22" w14:textId="77777777" w:rsidR="00F73497" w:rsidRPr="00F73497" w:rsidRDefault="00F73497" w:rsidP="00F73497">
      <w:pPr>
        <w:rPr>
          <w:rFonts w:cs="Arial"/>
          <w:rtl/>
        </w:rPr>
      </w:pPr>
      <w:r w:rsidRPr="00F73497">
        <w:rPr>
          <w:rFonts w:cs="Arial"/>
          <w:rtl/>
        </w:rPr>
        <w:t>ب- إذا أتهم شخص بارتكاب جريمة في مكان وزمان معينين، كأن أتهم بأنه ارتكب</w:t>
      </w:r>
    </w:p>
    <w:p w14:paraId="1F793B0A" w14:textId="77777777" w:rsidR="00F73497" w:rsidRPr="00F73497" w:rsidRDefault="00F73497" w:rsidP="00F73497">
      <w:pPr>
        <w:rPr>
          <w:rFonts w:cs="Arial"/>
          <w:rtl/>
        </w:rPr>
      </w:pPr>
    </w:p>
    <w:p w14:paraId="08DABC90" w14:textId="77777777" w:rsidR="00F73497" w:rsidRPr="00F73497" w:rsidRDefault="00F73497" w:rsidP="00F73497">
      <w:pPr>
        <w:rPr>
          <w:rFonts w:cs="Arial"/>
          <w:rtl/>
        </w:rPr>
      </w:pPr>
      <w:r w:rsidRPr="00F73497">
        <w:rPr>
          <w:rFonts w:cs="Arial"/>
          <w:rtl/>
        </w:rPr>
        <w:t>جريمة كذا في محافظة بغداد مثلاً يوم ١٩٨٧/٥/٢٥ ، وكان المتهم في نفس اليوم</w:t>
      </w:r>
    </w:p>
    <w:p w14:paraId="4A809031" w14:textId="77777777" w:rsidR="00F73497" w:rsidRPr="00F73497" w:rsidRDefault="00F73497" w:rsidP="00F73497">
      <w:pPr>
        <w:rPr>
          <w:rFonts w:cs="Arial"/>
          <w:rtl/>
        </w:rPr>
      </w:pPr>
    </w:p>
    <w:p w14:paraId="41288443" w14:textId="77777777" w:rsidR="00F73497" w:rsidRPr="00F73497" w:rsidRDefault="00F73497" w:rsidP="00F73497">
      <w:pPr>
        <w:rPr>
          <w:rFonts w:cs="Arial"/>
          <w:rtl/>
        </w:rPr>
      </w:pPr>
      <w:r w:rsidRPr="00F73497">
        <w:rPr>
          <w:rFonts w:cs="Arial"/>
          <w:rtl/>
        </w:rPr>
        <w:t>خارج العراق، أو كان في محافظة أخرى، فإن إدانته بارتكاب هذه الجريمة ممتنعة</w:t>
      </w:r>
    </w:p>
    <w:p w14:paraId="4A66DDB9" w14:textId="77777777" w:rsidR="00F73497" w:rsidRPr="00F73497" w:rsidRDefault="00F73497" w:rsidP="00F73497">
      <w:pPr>
        <w:rPr>
          <w:rFonts w:cs="Arial"/>
          <w:rtl/>
        </w:rPr>
      </w:pPr>
    </w:p>
    <w:p w14:paraId="6754E4D0" w14:textId="77777777" w:rsidR="00F73497" w:rsidRPr="00F73497" w:rsidRDefault="00F73497" w:rsidP="00F73497">
      <w:pPr>
        <w:rPr>
          <w:rFonts w:cs="Arial"/>
          <w:rtl/>
        </w:rPr>
      </w:pPr>
      <w:r w:rsidRPr="00F73497">
        <w:rPr>
          <w:rFonts w:cs="Arial"/>
          <w:rtl/>
        </w:rPr>
        <w:t>عادة، وإن كانت ممكنة عقلاً، والممتنع عادة يعتبر بمثابة الممتنع عقلاً، فعلى</w:t>
      </w:r>
    </w:p>
    <w:p w14:paraId="3EDADAE7" w14:textId="77777777" w:rsidR="00F73497" w:rsidRPr="00F73497" w:rsidRDefault="00F73497" w:rsidP="00F73497">
      <w:pPr>
        <w:rPr>
          <w:rFonts w:cs="Arial"/>
          <w:rtl/>
        </w:rPr>
      </w:pPr>
    </w:p>
    <w:p w14:paraId="1EAF9C25" w14:textId="6D0C9380" w:rsidR="00AE675D" w:rsidRPr="00374A83" w:rsidRDefault="00F73497" w:rsidP="00374A83">
      <w:pPr>
        <w:rPr>
          <w:rFonts w:cs="Arial"/>
        </w:rPr>
      </w:pPr>
      <w:r w:rsidRPr="00F73497">
        <w:rPr>
          <w:rFonts w:cs="Arial"/>
          <w:rtl/>
        </w:rPr>
        <w:t>القاضي أن يحكم ببرائته من هذه التهمة.</w:t>
      </w:r>
    </w:p>
    <w:sectPr w:rsidR="00AE675D" w:rsidRPr="00374A83" w:rsidSect="00AE67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5D"/>
    <w:rsid w:val="00181524"/>
    <w:rsid w:val="00374A83"/>
    <w:rsid w:val="004071D6"/>
    <w:rsid w:val="00474F5C"/>
    <w:rsid w:val="005D5645"/>
    <w:rsid w:val="0065237C"/>
    <w:rsid w:val="00697CAC"/>
    <w:rsid w:val="006F2B83"/>
    <w:rsid w:val="006F39EE"/>
    <w:rsid w:val="00732BE5"/>
    <w:rsid w:val="00737DCD"/>
    <w:rsid w:val="007B3A6A"/>
    <w:rsid w:val="009322B7"/>
    <w:rsid w:val="00AE675D"/>
    <w:rsid w:val="00EE6F50"/>
    <w:rsid w:val="00F73497"/>
    <w:rsid w:val="00FF05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1B0EB18"/>
  <w15:chartTrackingRefBased/>
  <w15:docId w15:val="{04610568-2B7D-0C45-A2C6-193ABE16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muna.mohammed.khadim@uomus.edu.iq</cp:lastModifiedBy>
  <cp:revision>2</cp:revision>
  <dcterms:created xsi:type="dcterms:W3CDTF">2024-03-23T22:48:00Z</dcterms:created>
  <dcterms:modified xsi:type="dcterms:W3CDTF">2024-03-23T22:48:00Z</dcterms:modified>
</cp:coreProperties>
</file>