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B9" w:rsidRPr="00E056B9" w:rsidRDefault="00E056B9" w:rsidP="00E056B9">
      <w:pPr>
        <w:shd w:val="clear" w:color="auto" w:fill="FFFFFF"/>
        <w:bidi/>
        <w:spacing w:after="0" w:line="259" w:lineRule="atLeast"/>
        <w:jc w:val="center"/>
        <w:rPr>
          <w:rFonts w:ascii="Arial" w:eastAsia="Times New Roman" w:hAnsi="Arial" w:cs="Arial"/>
          <w:color w:val="757575"/>
          <w:sz w:val="23"/>
          <w:szCs w:val="23"/>
        </w:rPr>
      </w:pPr>
      <w:r w:rsidRPr="00E056B9">
        <w:rPr>
          <w:rFonts w:ascii="Arial" w:eastAsia="Times New Roman" w:hAnsi="Arial" w:cs="PT Bold Heading" w:hint="cs"/>
          <w:b/>
          <w:bCs/>
          <w:color w:val="757575"/>
          <w:sz w:val="32"/>
          <w:szCs w:val="32"/>
          <w:rtl/>
        </w:rPr>
        <w:t>الفصل الرابع</w:t>
      </w:r>
      <w:bookmarkStart w:id="0" w:name="_GoBack"/>
      <w:bookmarkEnd w:id="0"/>
    </w:p>
    <w:p w:rsidR="00E056B9" w:rsidRPr="00E056B9" w:rsidRDefault="00E056B9" w:rsidP="00E056B9">
      <w:pPr>
        <w:shd w:val="clear" w:color="auto" w:fill="FFFFFF"/>
        <w:bidi/>
        <w:spacing w:after="0" w:line="259" w:lineRule="atLeast"/>
        <w:jc w:val="center"/>
        <w:rPr>
          <w:rFonts w:ascii="Arial" w:eastAsia="Times New Roman" w:hAnsi="Arial" w:cs="Arial"/>
          <w:color w:val="757575"/>
          <w:sz w:val="23"/>
          <w:szCs w:val="23"/>
          <w:rtl/>
        </w:rPr>
      </w:pPr>
      <w:r w:rsidRPr="00E056B9">
        <w:rPr>
          <w:rFonts w:ascii="Arial" w:eastAsia="Times New Roman" w:hAnsi="Arial" w:cs="PT Bold Heading" w:hint="cs"/>
          <w:b/>
          <w:bCs/>
          <w:color w:val="757575"/>
          <w:sz w:val="32"/>
          <w:szCs w:val="32"/>
          <w:rtl/>
        </w:rPr>
        <w:t>الجرائم الواقعة على الأشخاص</w:t>
      </w:r>
    </w:p>
    <w:p w:rsidR="00E056B9" w:rsidRPr="00E056B9" w:rsidRDefault="00E056B9" w:rsidP="00E056B9">
      <w:pPr>
        <w:shd w:val="clear" w:color="auto" w:fill="FFFFFF"/>
        <w:bidi/>
        <w:spacing w:after="0" w:line="259" w:lineRule="atLeast"/>
        <w:jc w:val="center"/>
        <w:rPr>
          <w:rFonts w:ascii="Arial" w:eastAsia="Times New Roman" w:hAnsi="Arial" w:cs="Arial"/>
          <w:color w:val="757575"/>
          <w:sz w:val="23"/>
          <w:szCs w:val="23"/>
          <w:rtl/>
        </w:rPr>
      </w:pP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Arial" w:eastAsia="Times New Roman" w:hAnsi="Arial" w:cs="PT Bold Heading" w:hint="cs"/>
          <w:b/>
          <w:bCs/>
          <w:color w:val="757575"/>
          <w:sz w:val="28"/>
          <w:szCs w:val="28"/>
          <w:rtl/>
        </w:rPr>
        <w:t>المبحث الأول: الجرائم الماسة بحياة الانسان وسلامة بدنه:</w:t>
      </w:r>
      <w:r w:rsidRPr="00E056B9">
        <w:rPr>
          <w:rFonts w:ascii="Times New Roman" w:eastAsia="Times New Roman" w:hAnsi="Times New Roman" w:cs="Times New Roman" w:hint="cs"/>
          <w:color w:val="757575"/>
          <w:sz w:val="28"/>
          <w:szCs w:val="28"/>
          <w:rtl/>
        </w:rPr>
        <w:t> </w:t>
      </w:r>
      <w:r w:rsidRPr="00E056B9">
        <w:rPr>
          <w:rFonts w:ascii="Simplified Arabic" w:eastAsia="Times New Roman" w:hAnsi="Simplified Arabic" w:cs="Simplified Arabic"/>
          <w:color w:val="757575"/>
          <w:sz w:val="28"/>
          <w:szCs w:val="28"/>
          <w:rtl/>
        </w:rPr>
        <w:t>تناول المشرع العراقي الجرائم الماسة بحياة الانسان وسلامته</w:t>
      </w:r>
      <w:r w:rsidRPr="00E056B9">
        <w:rPr>
          <w:rFonts w:ascii="Times New Roman" w:eastAsia="Times New Roman" w:hAnsi="Times New Roman" w:cs="Times New Roman" w:hint="cs"/>
          <w:color w:val="757575"/>
          <w:sz w:val="28"/>
          <w:szCs w:val="28"/>
          <w:rtl/>
        </w:rPr>
        <w:t> </w:t>
      </w:r>
      <w:r w:rsidRPr="00E056B9">
        <w:rPr>
          <w:rFonts w:ascii="Simplified Arabic" w:eastAsia="Times New Roman" w:hAnsi="Simplified Arabic" w:cs="Simplified Arabic"/>
          <w:color w:val="757575"/>
          <w:sz w:val="28"/>
          <w:szCs w:val="28"/>
          <w:rtl/>
        </w:rPr>
        <w:t>في الباب الاول من الكتاب الثالث المتعلق بالجرائم الواقعة على الاشخاص وتضمن جريمة القتل العمد في فصله الاول، وجريمتي الضرب المفضي الى الموت والقتل الخطأ في فصله الثاني، وجرائم الجرح والضرب والايذاء العمد في فصله الثالث، والاجهاض في فصله الرابع، واخفاء جثة قتيل في فصله الخامس.</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Arial" w:eastAsia="Times New Roman" w:hAnsi="Arial" w:cs="PT Bold Heading" w:hint="cs"/>
          <w:b/>
          <w:bCs/>
          <w:color w:val="757575"/>
          <w:sz w:val="28"/>
          <w:szCs w:val="28"/>
          <w:rtl/>
        </w:rPr>
        <w:t>المطلب الأول: القتل العمد:</w:t>
      </w:r>
      <w:r w:rsidRPr="00E056B9">
        <w:rPr>
          <w:rFonts w:ascii="Times New Roman" w:eastAsia="Times New Roman" w:hAnsi="Times New Roman" w:cs="Times New Roman" w:hint="cs"/>
          <w:color w:val="757575"/>
          <w:sz w:val="28"/>
          <w:szCs w:val="28"/>
          <w:rtl/>
        </w:rPr>
        <w:t> </w:t>
      </w:r>
      <w:r w:rsidRPr="00E056B9">
        <w:rPr>
          <w:rFonts w:ascii="Simplified Arabic" w:eastAsia="Times New Roman" w:hAnsi="Simplified Arabic" w:cs="Simplified Arabic"/>
          <w:color w:val="757575"/>
          <w:sz w:val="28"/>
          <w:szCs w:val="28"/>
          <w:rtl/>
        </w:rPr>
        <w:t>تكلم قانون العقوبات على القتل العمد في المادتين </w:t>
      </w:r>
      <w:r w:rsidRPr="00E056B9">
        <w:rPr>
          <w:rFonts w:ascii="Simplified Arabic" w:eastAsia="Times New Roman" w:hAnsi="Simplified Arabic" w:cs="Simplified Arabic"/>
          <w:b/>
          <w:bCs/>
          <w:color w:val="757575"/>
          <w:sz w:val="28"/>
          <w:szCs w:val="28"/>
          <w:rtl/>
        </w:rPr>
        <w:t>405</w:t>
      </w:r>
      <w:r w:rsidRPr="00E056B9">
        <w:rPr>
          <w:rFonts w:ascii="Simplified Arabic" w:eastAsia="Times New Roman" w:hAnsi="Simplified Arabic" w:cs="Simplified Arabic"/>
          <w:color w:val="757575"/>
          <w:sz w:val="28"/>
          <w:szCs w:val="28"/>
          <w:rtl/>
        </w:rPr>
        <w:t>، </w:t>
      </w:r>
      <w:r w:rsidRPr="00E056B9">
        <w:rPr>
          <w:rFonts w:ascii="Simplified Arabic" w:eastAsia="Times New Roman" w:hAnsi="Simplified Arabic" w:cs="Simplified Arabic"/>
          <w:b/>
          <w:bCs/>
          <w:color w:val="757575"/>
          <w:sz w:val="28"/>
          <w:szCs w:val="28"/>
          <w:rtl/>
        </w:rPr>
        <w:t>406</w:t>
      </w:r>
      <w:r w:rsidRPr="00E056B9">
        <w:rPr>
          <w:rFonts w:ascii="Simplified Arabic" w:eastAsia="Times New Roman" w:hAnsi="Simplified Arabic" w:cs="Simplified Arabic"/>
          <w:color w:val="757575"/>
          <w:sz w:val="28"/>
          <w:szCs w:val="28"/>
          <w:rtl/>
        </w:rPr>
        <w:t> في حين تناولت المادتين </w:t>
      </w:r>
      <w:r w:rsidRPr="00E056B9">
        <w:rPr>
          <w:rFonts w:ascii="Simplified Arabic" w:eastAsia="Times New Roman" w:hAnsi="Simplified Arabic" w:cs="Simplified Arabic"/>
          <w:b/>
          <w:bCs/>
          <w:color w:val="757575"/>
          <w:sz w:val="28"/>
          <w:szCs w:val="28"/>
          <w:rtl/>
        </w:rPr>
        <w:t>407</w:t>
      </w:r>
      <w:r w:rsidRPr="00E056B9">
        <w:rPr>
          <w:rFonts w:ascii="Simplified Arabic" w:eastAsia="Times New Roman" w:hAnsi="Simplified Arabic" w:cs="Simplified Arabic"/>
          <w:color w:val="757575"/>
          <w:sz w:val="28"/>
          <w:szCs w:val="28"/>
          <w:rtl/>
        </w:rPr>
        <w:t>، </w:t>
      </w:r>
      <w:r w:rsidRPr="00E056B9">
        <w:rPr>
          <w:rFonts w:ascii="Simplified Arabic" w:eastAsia="Times New Roman" w:hAnsi="Simplified Arabic" w:cs="Simplified Arabic"/>
          <w:b/>
          <w:bCs/>
          <w:color w:val="757575"/>
          <w:sz w:val="28"/>
          <w:szCs w:val="28"/>
          <w:rtl/>
        </w:rPr>
        <w:t>409</w:t>
      </w:r>
      <w:r w:rsidRPr="00E056B9">
        <w:rPr>
          <w:rFonts w:ascii="Simplified Arabic" w:eastAsia="Times New Roman" w:hAnsi="Simplified Arabic" w:cs="Simplified Arabic"/>
          <w:color w:val="757575"/>
          <w:sz w:val="28"/>
          <w:szCs w:val="28"/>
          <w:rtl/>
        </w:rPr>
        <w:t> على صورتين للقتل العمد المخفف.</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Arial" w:eastAsia="Times New Roman" w:hAnsi="Arial" w:cs="PT Bold Heading" w:hint="cs"/>
          <w:b/>
          <w:bCs/>
          <w:color w:val="757575"/>
          <w:sz w:val="28"/>
          <w:szCs w:val="28"/>
          <w:rtl/>
        </w:rPr>
        <w:t>المطلب الثاني: الضرب المفضي الى الموت:</w:t>
      </w:r>
      <w:r w:rsidRPr="00E056B9">
        <w:rPr>
          <w:rFonts w:ascii="Times New Roman" w:eastAsia="Times New Roman" w:hAnsi="Times New Roman" w:cs="Times New Roman" w:hint="cs"/>
          <w:color w:val="757575"/>
          <w:sz w:val="28"/>
          <w:szCs w:val="28"/>
          <w:rtl/>
        </w:rPr>
        <w:t> </w:t>
      </w:r>
      <w:r w:rsidRPr="00E056B9">
        <w:rPr>
          <w:rFonts w:ascii="Simplified Arabic" w:eastAsia="Times New Roman" w:hAnsi="Simplified Arabic" w:cs="Simplified Arabic"/>
          <w:color w:val="757575"/>
          <w:sz w:val="28"/>
          <w:szCs w:val="28"/>
          <w:rtl/>
        </w:rPr>
        <w:t>تنص المادة </w:t>
      </w:r>
      <w:r w:rsidRPr="00E056B9">
        <w:rPr>
          <w:rFonts w:ascii="Simplified Arabic" w:eastAsia="Times New Roman" w:hAnsi="Simplified Arabic" w:cs="Simplified Arabic"/>
          <w:b/>
          <w:bCs/>
          <w:color w:val="757575"/>
          <w:sz w:val="28"/>
          <w:szCs w:val="28"/>
          <w:rtl/>
        </w:rPr>
        <w:t>410</w:t>
      </w:r>
      <w:r w:rsidRPr="00E056B9">
        <w:rPr>
          <w:rFonts w:ascii="Simplified Arabic" w:eastAsia="Times New Roman" w:hAnsi="Simplified Arabic" w:cs="Simplified Arabic"/>
          <w:color w:val="757575"/>
          <w:sz w:val="28"/>
          <w:szCs w:val="28"/>
          <w:rtl/>
        </w:rPr>
        <w:t> عقوبات على انه:</w:t>
      </w:r>
      <w:r w:rsidRPr="00E056B9">
        <w:rPr>
          <w:rFonts w:ascii="Simplified Arabic" w:eastAsia="Times New Roman" w:hAnsi="Simplified Arabic" w:cs="Simplified Arabic"/>
          <w:color w:val="757575"/>
          <w:sz w:val="28"/>
          <w:szCs w:val="28"/>
        </w:rPr>
        <w:t> </w:t>
      </w:r>
      <w:r w:rsidRPr="00E056B9">
        <w:rPr>
          <w:rFonts w:ascii="Simplified Arabic" w:eastAsia="Times New Roman" w:hAnsi="Simplified Arabic" w:cs="Simplified Arabic"/>
          <w:color w:val="757575"/>
          <w:sz w:val="28"/>
          <w:szCs w:val="28"/>
          <w:rtl/>
        </w:rPr>
        <w:t>(من اعتمد عمدا على آخر بالضرب أو الجرح أو بالعنف أو بإعطاء مادة ضارة أو ارتكاب أي فعل آخر مخالف للقانون ولم يقصد من ذلك قتله ولكنه أفضى الى موته يعاقب بالسجن مدة لا تزيد على خمس عشرة سنة. وتكون العقوبة السجن مدة لا تزيد على عشرين سنة إذا ارتكبت الجريمة مع سبق الاصرار أو كان المجني عليه من أصول الجاني أو كان موظفاً أو مكلفاً بخدمة عامة ووقع الاعتداء عليه أثناء تأدية وظيفته أو خدمته أو بسبب ذلك).</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Simplified Arabic" w:eastAsia="Times New Roman" w:hAnsi="Simplified Arabic" w:cs="Simplified Arabic"/>
          <w:color w:val="757575"/>
          <w:sz w:val="28"/>
          <w:szCs w:val="28"/>
          <w:rtl/>
        </w:rPr>
        <w:t>تعد جريمة الضرب المفضي الى الموت صورة متعدية القصد، وهي تختلف عن القتل العمد، اذ فيها يقصد الجاني الى مجرد الضرب أو الجرح أو اعطاء مادة ضارة لإيذاء المجني عليه في سلامة جسمه، إلا ان النتيجة تتجاوز قصده فتحدث حالة الوفاة، في حين ان جريمة القتل العمد يكون الجاني فيها قاصدا لإزهاق روح المجني عليه.</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Arial" w:eastAsia="Times New Roman" w:hAnsi="Arial" w:cs="PT Bold Heading" w:hint="cs"/>
          <w:b/>
          <w:bCs/>
          <w:color w:val="757575"/>
          <w:sz w:val="28"/>
          <w:szCs w:val="28"/>
          <w:rtl/>
        </w:rPr>
        <w:t>المطلب الثالث: القتل الخطأ:</w:t>
      </w:r>
      <w:r w:rsidRPr="00E056B9">
        <w:rPr>
          <w:rFonts w:ascii="Times New Roman" w:eastAsia="Times New Roman" w:hAnsi="Times New Roman" w:cs="Times New Roman" w:hint="cs"/>
          <w:b/>
          <w:bCs/>
          <w:color w:val="757575"/>
          <w:sz w:val="28"/>
          <w:szCs w:val="28"/>
          <w:rtl/>
        </w:rPr>
        <w:t> </w:t>
      </w:r>
      <w:r w:rsidRPr="00E056B9">
        <w:rPr>
          <w:rFonts w:ascii="Simplified Arabic" w:eastAsia="Times New Roman" w:hAnsi="Simplified Arabic" w:cs="Simplified Arabic"/>
          <w:color w:val="757575"/>
          <w:sz w:val="28"/>
          <w:szCs w:val="28"/>
          <w:rtl/>
        </w:rPr>
        <w:t>عالج المشرع العراقي جريمة القتل الخطأ في المادة </w:t>
      </w:r>
      <w:r w:rsidRPr="00E056B9">
        <w:rPr>
          <w:rFonts w:ascii="Simplified Arabic" w:eastAsia="Times New Roman" w:hAnsi="Simplified Arabic" w:cs="Simplified Arabic"/>
          <w:b/>
          <w:bCs/>
          <w:color w:val="757575"/>
          <w:sz w:val="28"/>
          <w:szCs w:val="28"/>
          <w:rtl/>
        </w:rPr>
        <w:t>411</w:t>
      </w:r>
      <w:r w:rsidRPr="00E056B9">
        <w:rPr>
          <w:rFonts w:ascii="Simplified Arabic" w:eastAsia="Times New Roman" w:hAnsi="Simplified Arabic" w:cs="Simplified Arabic"/>
          <w:color w:val="757575"/>
          <w:sz w:val="28"/>
          <w:szCs w:val="28"/>
          <w:rtl/>
        </w:rPr>
        <w:t xml:space="preserve"> من قانون العقوبات العراقي رقم 111 لسنة 1969 المعدل، وعلة التجريم تكمن في ان هذه الجريمة تشكل </w:t>
      </w:r>
      <w:proofErr w:type="spellStart"/>
      <w:r w:rsidRPr="00E056B9">
        <w:rPr>
          <w:rFonts w:ascii="Simplified Arabic" w:eastAsia="Times New Roman" w:hAnsi="Simplified Arabic" w:cs="Simplified Arabic"/>
          <w:color w:val="757575"/>
          <w:sz w:val="28"/>
          <w:szCs w:val="28"/>
          <w:rtl/>
        </w:rPr>
        <w:t>اعتداءاً</w:t>
      </w:r>
      <w:proofErr w:type="spellEnd"/>
      <w:r w:rsidRPr="00E056B9">
        <w:rPr>
          <w:rFonts w:ascii="Simplified Arabic" w:eastAsia="Times New Roman" w:hAnsi="Simplified Arabic" w:cs="Simplified Arabic"/>
          <w:color w:val="757575"/>
          <w:sz w:val="28"/>
          <w:szCs w:val="28"/>
          <w:rtl/>
        </w:rPr>
        <w:t xml:space="preserve"> على حق الانسان في الحياة وهو حق مصون وكفلت حمايته اعلانات الحقوق والمواثيق الدولية والدساتير والقوانين الوطنية.</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Simplified Arabic" w:eastAsia="Times New Roman" w:hAnsi="Simplified Arabic" w:cs="Simplified Arabic"/>
          <w:color w:val="757575"/>
          <w:sz w:val="28"/>
          <w:szCs w:val="28"/>
          <w:rtl/>
        </w:rPr>
        <w:lastRenderedPageBreak/>
        <w:t>من أوجه الشبه ما بين جريمة القتل الخطأ وجريمة القتل العمد هو نشاط الجاني الذي يتمثل بفعل الاعتداء المميت وأياً كانت الوسيلة التي يقع فيها هذا الاعتداء سواء كانت الوسيلة قاتلة بطبيعتها كالأسلحة النارية أو السكين أو بوسيلة غير قاتلة بطبيعتها ولكن باستخدام الجاني لها تصبح قاتلة كسكين المطبخ أو الفأس أو الحجارة أو العصا وغيرها من الوسائل، كما تتشابه الجريمتان من حيث النتيجة وهي الوفاة، في حين يكمن الاختلاف ما بين جريمة القتل الخطأ وبين العمد في الركن المعنوي وهو توفر القصد الجرمي في الاخيرة دون الاولى.</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Simplified Arabic" w:eastAsia="Times New Roman" w:hAnsi="Simplified Arabic" w:cs="Simplified Arabic"/>
          <w:color w:val="757575"/>
          <w:sz w:val="28"/>
          <w:szCs w:val="28"/>
          <w:rtl/>
        </w:rPr>
        <w:t>ان لجريمة القتل الخطأ متطلبات موضوعية وأخرى معنوية تتمثل بالخطأ وقد حدد المشرع العراقي صور الخطأ في المادة </w:t>
      </w:r>
      <w:r w:rsidRPr="00E056B9">
        <w:rPr>
          <w:rFonts w:ascii="Simplified Arabic" w:eastAsia="Times New Roman" w:hAnsi="Simplified Arabic" w:cs="Simplified Arabic"/>
          <w:b/>
          <w:bCs/>
          <w:color w:val="757575"/>
          <w:sz w:val="28"/>
          <w:szCs w:val="28"/>
          <w:rtl/>
        </w:rPr>
        <w:t>35</w:t>
      </w:r>
      <w:r w:rsidRPr="00E056B9">
        <w:rPr>
          <w:rFonts w:ascii="Simplified Arabic" w:eastAsia="Times New Roman" w:hAnsi="Simplified Arabic" w:cs="Simplified Arabic"/>
          <w:color w:val="757575"/>
          <w:sz w:val="28"/>
          <w:szCs w:val="28"/>
          <w:rtl/>
        </w:rPr>
        <w:t> من قانون العقوبات وهي الاهمال وعدم الانتباه وعدم الاحتياط والرعونة وعدم مراعاة القوانين والانظمة والتعليمات واللوائح.</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Arial" w:eastAsia="Times New Roman" w:hAnsi="Arial" w:cs="PT Bold Heading" w:hint="cs"/>
          <w:b/>
          <w:bCs/>
          <w:color w:val="757575"/>
          <w:sz w:val="28"/>
          <w:szCs w:val="28"/>
          <w:rtl/>
        </w:rPr>
        <w:t>المطلب الرابع: الجرح والضرب والايذاء العمد:</w:t>
      </w:r>
      <w:r w:rsidRPr="00E056B9">
        <w:rPr>
          <w:rFonts w:ascii="Times New Roman" w:eastAsia="Times New Roman" w:hAnsi="Times New Roman" w:cs="Times New Roman" w:hint="cs"/>
          <w:color w:val="757575"/>
          <w:sz w:val="28"/>
          <w:szCs w:val="28"/>
          <w:rtl/>
        </w:rPr>
        <w:t> </w:t>
      </w:r>
      <w:r w:rsidRPr="00E056B9">
        <w:rPr>
          <w:rFonts w:ascii="Simplified Arabic" w:eastAsia="Times New Roman" w:hAnsi="Simplified Arabic" w:cs="Simplified Arabic"/>
          <w:color w:val="757575"/>
          <w:sz w:val="28"/>
          <w:szCs w:val="28"/>
          <w:rtl/>
        </w:rPr>
        <w:t>خص المشرع</w:t>
      </w:r>
      <w:r w:rsidRPr="00E056B9">
        <w:rPr>
          <w:rFonts w:ascii="Times New Roman" w:eastAsia="Times New Roman" w:hAnsi="Times New Roman" w:cs="Times New Roman" w:hint="cs"/>
          <w:color w:val="757575"/>
          <w:sz w:val="28"/>
          <w:szCs w:val="28"/>
          <w:rtl/>
        </w:rPr>
        <w:t> </w:t>
      </w:r>
      <w:r w:rsidRPr="00E056B9">
        <w:rPr>
          <w:rFonts w:ascii="Simplified Arabic" w:eastAsia="Times New Roman" w:hAnsi="Simplified Arabic" w:cs="Simplified Arabic"/>
          <w:color w:val="757575"/>
          <w:sz w:val="28"/>
          <w:szCs w:val="28"/>
          <w:rtl/>
        </w:rPr>
        <w:t>جرائم الجرح والضرب والايذاء العمد بالمواد </w:t>
      </w:r>
      <w:r w:rsidRPr="00E056B9">
        <w:rPr>
          <w:rFonts w:ascii="Simplified Arabic" w:eastAsia="Times New Roman" w:hAnsi="Simplified Arabic" w:cs="Simplified Arabic"/>
          <w:b/>
          <w:bCs/>
          <w:color w:val="757575"/>
          <w:sz w:val="28"/>
          <w:szCs w:val="28"/>
          <w:rtl/>
        </w:rPr>
        <w:t>(413-416)</w:t>
      </w:r>
      <w:r w:rsidRPr="00E056B9">
        <w:rPr>
          <w:rFonts w:ascii="Simplified Arabic" w:eastAsia="Times New Roman" w:hAnsi="Simplified Arabic" w:cs="Simplified Arabic"/>
          <w:color w:val="757575"/>
          <w:sz w:val="28"/>
          <w:szCs w:val="28"/>
          <w:rtl/>
        </w:rPr>
        <w:t> عقوبات، وهذه الجرائم تختلف عن بعضها بالنظر الى الجسامة، فمن ضرب أو جرح بسيط، الى ايذاء بليغ، الى ضرب يفضي الى عاهة مستديمة، وفي بعض الجرائم يعاقب المشرع بوصف العمد كما يعاقب على بعضها بوصف الخطأ، ومن هذه الجرائم ما هو من نوع جنح، ومنها ما هو من نوع جنايات، علما بان الفعل الاجرامي فيها جميعا هو فعل الجرح أو الضرب أو اعطاء مادة ضارة أو العنف أو أي فعل آخر مخالف للقانون والذي يأتيه فاعله عمداً، يضيف المشرع بالنسبة لبعض هذه الجرائم ظروفاً مشددة ويجعل الاخذ بها الزامياً على المحكمة.</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Arial" w:eastAsia="Times New Roman" w:hAnsi="Arial" w:cs="PT Bold Heading" w:hint="cs"/>
          <w:b/>
          <w:bCs/>
          <w:color w:val="757575"/>
          <w:sz w:val="28"/>
          <w:szCs w:val="28"/>
          <w:rtl/>
        </w:rPr>
        <w:t>المطلب الخامس: الاجهاض:</w:t>
      </w:r>
      <w:r w:rsidRPr="00E056B9">
        <w:rPr>
          <w:rFonts w:ascii="Times New Roman" w:eastAsia="Times New Roman" w:hAnsi="Times New Roman" w:cs="Times New Roman" w:hint="cs"/>
          <w:color w:val="757575"/>
          <w:sz w:val="28"/>
          <w:szCs w:val="28"/>
          <w:rtl/>
        </w:rPr>
        <w:t> </w:t>
      </w:r>
      <w:r w:rsidRPr="00E056B9">
        <w:rPr>
          <w:rFonts w:ascii="Simplified Arabic" w:eastAsia="Times New Roman" w:hAnsi="Simplified Arabic" w:cs="Simplified Arabic"/>
          <w:color w:val="757575"/>
          <w:sz w:val="28"/>
          <w:szCs w:val="28"/>
          <w:rtl/>
        </w:rPr>
        <w:t>الاجهاض لغير ضرورة جريمة معاقب عليها بموجب قانون العقوبات العراقي المعدل، في المواد 417-419، فقد خص المادة 417 لجريمة اجهاض المرأة عمدا برضاها، في حين خصص المادة 418 لجريمة اجهاض المرأة عمداً بدون رضاها، وكانت المادة 419 محلا لجريمة الاعتداء المفضي الى الاجهاض.</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Arial" w:eastAsia="Times New Roman" w:hAnsi="Arial" w:cs="PT Bold Heading" w:hint="cs"/>
          <w:b/>
          <w:bCs/>
          <w:color w:val="757575"/>
          <w:sz w:val="28"/>
          <w:szCs w:val="28"/>
          <w:rtl/>
        </w:rPr>
        <w:t>المطلب السادس: اخفاء جثة قتيل:</w:t>
      </w:r>
      <w:r w:rsidRPr="00E056B9">
        <w:rPr>
          <w:rFonts w:ascii="Simplified Arabic" w:eastAsia="Times New Roman" w:hAnsi="Simplified Arabic" w:cs="Simplified Arabic"/>
          <w:b/>
          <w:bCs/>
          <w:color w:val="757575"/>
          <w:sz w:val="28"/>
          <w:szCs w:val="28"/>
          <w:rtl/>
        </w:rPr>
        <w:t> </w:t>
      </w:r>
      <w:r w:rsidRPr="00E056B9">
        <w:rPr>
          <w:rFonts w:ascii="Simplified Arabic" w:eastAsia="Times New Roman" w:hAnsi="Simplified Arabic" w:cs="Simplified Arabic"/>
          <w:color w:val="757575"/>
          <w:sz w:val="28"/>
          <w:szCs w:val="28"/>
          <w:rtl/>
        </w:rPr>
        <w:t>عالج المشرع العراقي هذه الجريمة في المادة (420) من قانون العقوبات وعلة تجريم اخفاء جثة قتيل أو دفنها دون اخبار السلطة المختصة وقبل الكشف عليها والتحقيق في حالة الموت تكمن في ان الجاني يسعى بنشاطه هذا الى عرقلة جهود السلطات المختصة التي تسعى الى الكشف عن الحقيقة والوصول الى الجاني وتحديد سبب الوفاة خاصة إذا كانت الوفاة غير طبيعية أي نتيجة سلوك اجرامي.</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Simplified Arabic" w:eastAsia="Times New Roman" w:hAnsi="Simplified Arabic" w:cs="Simplified Arabic"/>
          <w:color w:val="757575"/>
          <w:sz w:val="28"/>
          <w:szCs w:val="28"/>
          <w:rtl/>
        </w:rPr>
        <w:lastRenderedPageBreak/>
        <w:t xml:space="preserve">ان المتطلبات الموضوعية لهذه الجريمة تتمثل بنشاط الجاني والذي حددته المادة 420 من قانون العقوبات بالإخفاء أو الدفن ويراد بهما كل نشاط يأتيه الجاني ويبعد به الجثة عن انظار السلطات المختصة بحيث لا تستطيع معاينتها ولا يشترط بالإبعاد ان يكون </w:t>
      </w:r>
      <w:proofErr w:type="spellStart"/>
      <w:r w:rsidRPr="00E056B9">
        <w:rPr>
          <w:rFonts w:ascii="Simplified Arabic" w:eastAsia="Times New Roman" w:hAnsi="Simplified Arabic" w:cs="Simplified Arabic"/>
          <w:color w:val="757575"/>
          <w:sz w:val="28"/>
          <w:szCs w:val="28"/>
          <w:rtl/>
        </w:rPr>
        <w:t>دائميا</w:t>
      </w:r>
      <w:proofErr w:type="spellEnd"/>
      <w:r w:rsidRPr="00E056B9">
        <w:rPr>
          <w:rFonts w:ascii="Simplified Arabic" w:eastAsia="Times New Roman" w:hAnsi="Simplified Arabic" w:cs="Simplified Arabic"/>
          <w:color w:val="757575"/>
          <w:sz w:val="28"/>
          <w:szCs w:val="28"/>
          <w:rtl/>
        </w:rPr>
        <w:t>، فقد يكون الابعاد مؤقتا، ويشترط بالإبعاد أو الدفن ان يكون غير مشروع وان ينصب على جثة انسان مات ميتة غير طبيعية نتيجة قتل عمد أو خطأ أو اعتداء افضى الى موت أو نتيجة انتحار.</w:t>
      </w:r>
    </w:p>
    <w:p w:rsidR="00E056B9" w:rsidRPr="00E056B9" w:rsidRDefault="00E056B9" w:rsidP="00E056B9">
      <w:pPr>
        <w:shd w:val="clear" w:color="auto" w:fill="FFFFFF"/>
        <w:bidi/>
        <w:spacing w:after="0" w:line="259" w:lineRule="atLeast"/>
        <w:jc w:val="both"/>
        <w:rPr>
          <w:rFonts w:ascii="Arial" w:eastAsia="Times New Roman" w:hAnsi="Arial" w:cs="Arial"/>
          <w:color w:val="757575"/>
          <w:sz w:val="23"/>
          <w:szCs w:val="23"/>
          <w:rtl/>
        </w:rPr>
      </w:pPr>
      <w:r w:rsidRPr="00E056B9">
        <w:rPr>
          <w:rFonts w:ascii="Simplified Arabic" w:eastAsia="Times New Roman" w:hAnsi="Simplified Arabic" w:cs="Simplified Arabic"/>
          <w:color w:val="757575"/>
          <w:sz w:val="28"/>
          <w:szCs w:val="28"/>
          <w:rtl/>
        </w:rPr>
        <w:t> ان جريمة اخفاء جثة قتيل تعد من الجرائم العمدية التي تتطلب توافر القصد الجرمي من علم وارادة، اما عقوبتها فهي الحبس مدة لا تزيد على سنة وبغرامة أو بأحدهما.</w:t>
      </w:r>
    </w:p>
    <w:p w:rsidR="00BE32BF" w:rsidRDefault="00BE32BF"/>
    <w:sectPr w:rsidR="00BE3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B9"/>
    <w:rsid w:val="00BE32BF"/>
    <w:rsid w:val="00E05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xComputer</dc:creator>
  <cp:lastModifiedBy>xComputer</cp:lastModifiedBy>
  <cp:revision>2</cp:revision>
  <dcterms:created xsi:type="dcterms:W3CDTF">2024-03-23T13:07:00Z</dcterms:created>
  <dcterms:modified xsi:type="dcterms:W3CDTF">2024-03-23T13:07:00Z</dcterms:modified>
</cp:coreProperties>
</file>