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04D4" w14:textId="77777777" w:rsidR="00F62C95" w:rsidRPr="00F62C95" w:rsidRDefault="00F62C95" w:rsidP="00F62C95">
      <w:pPr>
        <w:rPr>
          <w:rFonts w:asciiTheme="majorBidi" w:hAnsiTheme="majorBidi" w:cstheme="majorBidi"/>
          <w:b/>
          <w:bCs/>
          <w:sz w:val="28"/>
          <w:szCs w:val="28"/>
        </w:rPr>
      </w:pPr>
      <w:r w:rsidRPr="00F62C95">
        <w:rPr>
          <w:rFonts w:asciiTheme="majorBidi" w:hAnsiTheme="majorBidi" w:cstheme="majorBidi"/>
          <w:b/>
          <w:bCs/>
          <w:sz w:val="28"/>
          <w:szCs w:val="28"/>
        </w:rPr>
        <w:t xml:space="preserve">Regulatory Dose Limits and “Trigger” Levels </w:t>
      </w:r>
    </w:p>
    <w:p w14:paraId="73E4ECCA" w14:textId="77777777" w:rsidR="00F62C95" w:rsidRPr="00F62C95" w:rsidRDefault="00F62C95" w:rsidP="00F62C95">
      <w:pPr>
        <w:rPr>
          <w:rFonts w:asciiTheme="majorBidi" w:hAnsiTheme="majorBidi" w:cstheme="majorBidi"/>
          <w:sz w:val="28"/>
          <w:szCs w:val="28"/>
        </w:rPr>
      </w:pPr>
      <w:r w:rsidRPr="00F62C95">
        <w:rPr>
          <w:rFonts w:asciiTheme="majorBidi" w:hAnsiTheme="majorBidi" w:cstheme="majorBidi"/>
          <w:sz w:val="28"/>
          <w:szCs w:val="28"/>
        </w:rPr>
        <w:t>1. Institutional</w:t>
      </w:r>
    </w:p>
    <w:p w14:paraId="305CEEEE" w14:textId="77777777" w:rsidR="00F62C95" w:rsidRPr="00F62C95" w:rsidRDefault="00F62C95" w:rsidP="00F62C95">
      <w:pPr>
        <w:rPr>
          <w:rFonts w:asciiTheme="majorBidi" w:hAnsiTheme="majorBidi" w:cstheme="majorBidi"/>
          <w:sz w:val="28"/>
          <w:szCs w:val="28"/>
        </w:rPr>
      </w:pPr>
      <w:r w:rsidRPr="00F62C95">
        <w:rPr>
          <w:rFonts w:asciiTheme="majorBidi" w:hAnsiTheme="majorBidi" w:cstheme="majorBidi"/>
          <w:sz w:val="28"/>
          <w:szCs w:val="28"/>
        </w:rPr>
        <w:t>2. Local</w:t>
      </w:r>
    </w:p>
    <w:p w14:paraId="7846E983" w14:textId="77777777" w:rsidR="00F62C95" w:rsidRPr="00F62C95" w:rsidRDefault="00F62C95" w:rsidP="00F62C95">
      <w:pPr>
        <w:rPr>
          <w:rFonts w:asciiTheme="majorBidi" w:hAnsiTheme="majorBidi" w:cstheme="majorBidi"/>
          <w:sz w:val="28"/>
          <w:szCs w:val="28"/>
        </w:rPr>
      </w:pPr>
      <w:r w:rsidRPr="00F62C95">
        <w:rPr>
          <w:rFonts w:asciiTheme="majorBidi" w:hAnsiTheme="majorBidi" w:cstheme="majorBidi"/>
          <w:sz w:val="28"/>
          <w:szCs w:val="28"/>
        </w:rPr>
        <w:t xml:space="preserve">3. State </w:t>
      </w:r>
    </w:p>
    <w:p w14:paraId="0A066EC6" w14:textId="0A337307" w:rsidR="0034004C" w:rsidRDefault="00F62C95" w:rsidP="00F62C95">
      <w:pPr>
        <w:rPr>
          <w:rFonts w:asciiTheme="majorBidi" w:hAnsiTheme="majorBidi" w:cstheme="majorBidi"/>
          <w:sz w:val="28"/>
          <w:szCs w:val="28"/>
        </w:rPr>
      </w:pPr>
      <w:r w:rsidRPr="00F62C95">
        <w:rPr>
          <w:rFonts w:asciiTheme="majorBidi" w:hAnsiTheme="majorBidi" w:cstheme="majorBidi"/>
          <w:sz w:val="28"/>
          <w:szCs w:val="28"/>
        </w:rPr>
        <w:t>4. Federa</w:t>
      </w:r>
      <w:r>
        <w:rPr>
          <w:rFonts w:asciiTheme="majorBidi" w:hAnsiTheme="majorBidi" w:cstheme="majorBidi"/>
          <w:sz w:val="28"/>
          <w:szCs w:val="28"/>
        </w:rPr>
        <w:t>l</w:t>
      </w:r>
    </w:p>
    <w:p w14:paraId="6AB09F09" w14:textId="4278ED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Regulatory dose limits and trigger levels can vary depending on the jurisdiction and the type of radiation exposure. Here's a breakdown of what these terms generally refer to in various regulatory contexts:</w:t>
      </w:r>
    </w:p>
    <w:p w14:paraId="5A64AD98" w14:textId="343AD63B"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Institutional: Institutional dose limits and trigger levels typically refer to guidelines or regulations set by specific organizations, such as universities, research institutions, or healthcare facilities, to ensure the safety of workers, researchers, and the public from radiation exposure. These limits may be more stringent than those set by regulatory agencies to ensure an extra margin of safety.</w:t>
      </w:r>
    </w:p>
    <w:p w14:paraId="240F7C11" w14:textId="503973C5"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Local: Local regulatory agencies may establish dose limits and trigger levels tailored to the specific needs and circumstances of their jurisdiction. These could apply to activities such as industrial processes, waste management, or environmental monitoring. Local regulations often complement and sometimes extend beyond state and federal regulations to address regional concerns.</w:t>
      </w:r>
    </w:p>
    <w:p w14:paraId="78E2F320" w14:textId="471B1A58"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State: State regulatory agencies establish radiation dose limits and trigger levels within their jurisdictions to protect public health and safety. These limits may vary depending on factors such as the type of radiation, the nature of the activity or facility, and the proximity to population centers. States may adopt regulations consistent with or more stringent than federal standards established by organizations like the U.S. Nuclear Regulatory Commission (NRC) or the Environmental Protection Agency (EPA).</w:t>
      </w:r>
    </w:p>
    <w:p w14:paraId="58D8F240" w14:textId="75CE6A46"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Federal: Federal regulatory agencies, such as the U.S. Nuclear Regulatory Commission (NRC) and the Environmental Protection Agency (EPA), establish dose limits and trigger levels to protect public health and safety from radiation exposure across the United States. These agencies set standards for various sources of radiation, including nuclear power plants, medical facilities, industrial operations, and environmental contamination. Federal regulations provide a baseline level of protection that states and localities can choose to adopt or exceed based on their specific needs and circumstances.</w:t>
      </w:r>
    </w:p>
    <w:p w14:paraId="72D09421" w14:textId="1F2D5108" w:rsid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lastRenderedPageBreak/>
        <w:t>It's important to note that these regulatory frameworks are complex and subject to change. Additionally, specific dose limits and trigger levels can vary depending on the type of radiation, exposure pathway, and the intended protection target (e.g., workers, public, environment). Compliance with these regulations typically requires monitoring, assessment, and mitigation measures to ensure that radiation exposure remains within acceptable limits.</w:t>
      </w:r>
    </w:p>
    <w:p w14:paraId="288A5854" w14:textId="5E6B5FBD" w:rsidR="00F62C95" w:rsidRDefault="00F62C95" w:rsidP="00F62C95">
      <w:pPr>
        <w:jc w:val="lowKashida"/>
        <w:rPr>
          <w:rFonts w:asciiTheme="majorBidi" w:hAnsiTheme="majorBidi" w:cstheme="majorBidi"/>
          <w:sz w:val="28"/>
          <w:szCs w:val="28"/>
        </w:rPr>
      </w:pPr>
    </w:p>
    <w:p w14:paraId="79A17227" w14:textId="77777777" w:rsidR="00F62C95" w:rsidRPr="00F62C95" w:rsidRDefault="00F62C95" w:rsidP="00F62C95">
      <w:pPr>
        <w:jc w:val="center"/>
        <w:rPr>
          <w:rFonts w:asciiTheme="majorBidi" w:hAnsiTheme="majorBidi" w:cstheme="majorBidi"/>
          <w:b/>
          <w:bCs/>
          <w:sz w:val="28"/>
          <w:szCs w:val="28"/>
        </w:rPr>
      </w:pPr>
      <w:r w:rsidRPr="00F62C95">
        <w:rPr>
          <w:rFonts w:asciiTheme="majorBidi" w:hAnsiTheme="majorBidi" w:cstheme="majorBidi"/>
          <w:b/>
          <w:bCs/>
          <w:sz w:val="28"/>
          <w:szCs w:val="28"/>
          <w:highlight w:val="yellow"/>
        </w:rPr>
        <w:t>Persons at Risk</w:t>
      </w:r>
    </w:p>
    <w:p w14:paraId="41A5352F"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 xml:space="preserve">Occupational </w:t>
      </w:r>
    </w:p>
    <w:p w14:paraId="79F61F04"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Non-Occupational Staff</w:t>
      </w:r>
    </w:p>
    <w:p w14:paraId="7210DF93"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Members of the Public</w:t>
      </w:r>
    </w:p>
    <w:p w14:paraId="0C5E05D0"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Fetus</w:t>
      </w:r>
    </w:p>
    <w:p w14:paraId="0E11B656"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Patient</w:t>
      </w:r>
    </w:p>
    <w:p w14:paraId="588CB671"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1. Adult</w:t>
      </w:r>
    </w:p>
    <w:p w14:paraId="293FE58B"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2. Child</w:t>
      </w:r>
    </w:p>
    <w:p w14:paraId="1355CCD5"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 xml:space="preserve">3. Pregnancy Identified </w:t>
      </w:r>
    </w:p>
    <w:p w14:paraId="5844AB9A" w14:textId="1BA851BC" w:rsid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 xml:space="preserve">4. Pregnancy Status Unknown  </w:t>
      </w:r>
    </w:p>
    <w:p w14:paraId="473A107E" w14:textId="68CF1CE2"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here's an overview of the different categories of individuals who may be considered at risk of radiation exposure, along with specific considerations for each:</w:t>
      </w:r>
    </w:p>
    <w:p w14:paraId="6497A5EE" w14:textId="6C93E8F5" w:rsidR="00F62C95" w:rsidRPr="00F62C95" w:rsidRDefault="00F62C95" w:rsidP="00F62C95">
      <w:pPr>
        <w:jc w:val="lowKashida"/>
        <w:rPr>
          <w:rFonts w:asciiTheme="majorBidi" w:hAnsiTheme="majorBidi" w:cstheme="majorBidi"/>
          <w:b/>
          <w:bCs/>
          <w:sz w:val="28"/>
          <w:szCs w:val="28"/>
        </w:rPr>
      </w:pPr>
      <w:r w:rsidRPr="00F62C95">
        <w:rPr>
          <w:rFonts w:asciiTheme="majorBidi" w:hAnsiTheme="majorBidi" w:cstheme="majorBidi"/>
          <w:b/>
          <w:bCs/>
          <w:sz w:val="28"/>
          <w:szCs w:val="28"/>
        </w:rPr>
        <w:t>Occupational:</w:t>
      </w:r>
    </w:p>
    <w:p w14:paraId="28C5942C"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Definition: Individuals who work in environments where they may be exposed to radiation as part of their job duties, such as nuclear power plant workers, radiographers, radiologists, and radiation therapy technicians.</w:t>
      </w:r>
    </w:p>
    <w:p w14:paraId="3ED2275D"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Regulatory Concerns: Occupational exposure limits are typically higher than those for the general public but are still regulated to ensure that workers are not exposed to excessive radiation doses over time. Monitoring, training, and protective measures are implemented to minimize occupational exposure risks.</w:t>
      </w:r>
    </w:p>
    <w:p w14:paraId="677828D8" w14:textId="77777777" w:rsidR="00F62C95" w:rsidRDefault="00F62C95" w:rsidP="00F62C95">
      <w:pPr>
        <w:jc w:val="lowKashida"/>
        <w:rPr>
          <w:rFonts w:asciiTheme="majorBidi" w:hAnsiTheme="majorBidi" w:cstheme="majorBidi"/>
          <w:sz w:val="28"/>
          <w:szCs w:val="28"/>
        </w:rPr>
      </w:pPr>
    </w:p>
    <w:p w14:paraId="55966BE5" w14:textId="77777777" w:rsidR="00F62C95" w:rsidRDefault="00F62C95" w:rsidP="00F62C95">
      <w:pPr>
        <w:jc w:val="lowKashida"/>
        <w:rPr>
          <w:rFonts w:asciiTheme="majorBidi" w:hAnsiTheme="majorBidi" w:cstheme="majorBidi"/>
          <w:sz w:val="28"/>
          <w:szCs w:val="28"/>
        </w:rPr>
      </w:pPr>
    </w:p>
    <w:p w14:paraId="2CF57CF3" w14:textId="60C73704" w:rsidR="00F62C95" w:rsidRPr="00F62C95" w:rsidRDefault="00F62C95" w:rsidP="00F62C95">
      <w:pPr>
        <w:jc w:val="lowKashida"/>
        <w:rPr>
          <w:rFonts w:asciiTheme="majorBidi" w:hAnsiTheme="majorBidi" w:cstheme="majorBidi"/>
          <w:b/>
          <w:bCs/>
          <w:sz w:val="28"/>
          <w:szCs w:val="28"/>
        </w:rPr>
      </w:pPr>
      <w:r w:rsidRPr="00F62C95">
        <w:rPr>
          <w:rFonts w:asciiTheme="majorBidi" w:hAnsiTheme="majorBidi" w:cstheme="majorBidi"/>
          <w:b/>
          <w:bCs/>
          <w:sz w:val="28"/>
          <w:szCs w:val="28"/>
        </w:rPr>
        <w:lastRenderedPageBreak/>
        <w:t>Non-Occupational Staff:</w:t>
      </w:r>
    </w:p>
    <w:p w14:paraId="0EB5A997" w14:textId="5D0892D2"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Definition: Individuals who work in facilities where radiation is used but are not directly involved in activities that result in radiation exposure, such as administrative staff, maintenance personnel, or support staff.</w:t>
      </w:r>
    </w:p>
    <w:p w14:paraId="6A37C6D1"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Regulatory Concerns: While these individuals may not be directly exposed to radiation as part of their job duties, they may still be at risk of exposure in certain situations, such as during maintenance activities or in the event of accidental releases. Training, awareness, and protective measures may be implemented to mitigate risks for non-occupational staff.</w:t>
      </w:r>
    </w:p>
    <w:p w14:paraId="585645EE" w14:textId="06B6090F" w:rsidR="00F62C95" w:rsidRPr="00F62C95" w:rsidRDefault="00F62C95" w:rsidP="00F62C95">
      <w:pPr>
        <w:jc w:val="lowKashida"/>
        <w:rPr>
          <w:rFonts w:asciiTheme="majorBidi" w:hAnsiTheme="majorBidi" w:cstheme="majorBidi"/>
          <w:b/>
          <w:bCs/>
          <w:sz w:val="28"/>
          <w:szCs w:val="28"/>
        </w:rPr>
      </w:pPr>
      <w:r w:rsidRPr="00F62C95">
        <w:rPr>
          <w:rFonts w:asciiTheme="majorBidi" w:hAnsiTheme="majorBidi" w:cstheme="majorBidi"/>
          <w:b/>
          <w:bCs/>
          <w:sz w:val="28"/>
          <w:szCs w:val="28"/>
        </w:rPr>
        <w:t>Members of the Public:</w:t>
      </w:r>
    </w:p>
    <w:p w14:paraId="00C5A6D6"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Definition: Individuals who are not occupationally exposed to radiation but may be exposed to radiation from various sources in the environment, such as medical procedures, industrial activities, or natural sources.</w:t>
      </w:r>
    </w:p>
    <w:p w14:paraId="399E1E62"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b/>
          <w:bCs/>
          <w:sz w:val="28"/>
          <w:szCs w:val="28"/>
        </w:rPr>
        <w:t>Regulatory Concerns</w:t>
      </w:r>
      <w:r w:rsidRPr="00F62C95">
        <w:rPr>
          <w:rFonts w:asciiTheme="majorBidi" w:hAnsiTheme="majorBidi" w:cstheme="majorBidi"/>
          <w:sz w:val="28"/>
          <w:szCs w:val="28"/>
        </w:rPr>
        <w:t>: Regulatory agencies establish dose limits and guidelines to protect members of the public from unnecessary radiation exposure. This includes ensuring safety in areas such as medical imaging, environmental contamination, and public access to radioactive materials.</w:t>
      </w:r>
    </w:p>
    <w:p w14:paraId="64E5A903" w14:textId="10864843" w:rsidR="00F62C95" w:rsidRPr="00F62C95" w:rsidRDefault="00F62C95" w:rsidP="00F62C95">
      <w:pPr>
        <w:jc w:val="lowKashida"/>
        <w:rPr>
          <w:rFonts w:asciiTheme="majorBidi" w:hAnsiTheme="majorBidi" w:cstheme="majorBidi"/>
          <w:b/>
          <w:bCs/>
          <w:sz w:val="28"/>
          <w:szCs w:val="28"/>
        </w:rPr>
      </w:pPr>
      <w:r w:rsidRPr="00F62C95">
        <w:rPr>
          <w:rFonts w:asciiTheme="majorBidi" w:hAnsiTheme="majorBidi" w:cstheme="majorBidi"/>
          <w:b/>
          <w:bCs/>
          <w:sz w:val="28"/>
          <w:szCs w:val="28"/>
        </w:rPr>
        <w:t>Fetus:</w:t>
      </w:r>
    </w:p>
    <w:p w14:paraId="5991D61F"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Definition: The developing unborn child of a pregnant woman.</w:t>
      </w:r>
    </w:p>
    <w:p w14:paraId="4AD041AC"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Regulatory Concerns: Pregnant radiation workers require special consideration due to the potential risks posed to the developing fetus. Regulatory agencies typically impose lower dose limits for pregnant workers to minimize fetal exposure. Pregnant workers may be reassigned to tasks with lower radiation exposure potential, or additional protective measures may be implemented to minimize fetal exposure risks.</w:t>
      </w:r>
    </w:p>
    <w:p w14:paraId="2F9DF39F" w14:textId="0A8EF494" w:rsidR="00F62C95" w:rsidRPr="00F62C95" w:rsidRDefault="00F62C95" w:rsidP="00F62C95">
      <w:pPr>
        <w:jc w:val="lowKashida"/>
        <w:rPr>
          <w:rFonts w:asciiTheme="majorBidi" w:hAnsiTheme="majorBidi" w:cstheme="majorBidi"/>
          <w:b/>
          <w:bCs/>
          <w:sz w:val="28"/>
          <w:szCs w:val="28"/>
        </w:rPr>
      </w:pPr>
      <w:r w:rsidRPr="00F62C95">
        <w:rPr>
          <w:rFonts w:asciiTheme="majorBidi" w:hAnsiTheme="majorBidi" w:cstheme="majorBidi"/>
          <w:b/>
          <w:bCs/>
          <w:sz w:val="28"/>
          <w:szCs w:val="28"/>
        </w:rPr>
        <w:t>Patient:</w:t>
      </w:r>
    </w:p>
    <w:p w14:paraId="5997D97A"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Adult: Adult patients undergoing medical procedures involving ionizing radiation, such as diagnostic imaging (X-rays, CT scans) or radiation therapy for cancer treatment.</w:t>
      </w:r>
    </w:p>
    <w:p w14:paraId="317EF86F"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Child: Pediatric patients undergoing similar medical procedures but with considerations for their smaller size, increased sensitivity to radiation, and longer life expectancy, which may amplify long-term radiation risks.</w:t>
      </w:r>
    </w:p>
    <w:p w14:paraId="6F0D8F5E"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lastRenderedPageBreak/>
        <w:t>Pregnancy Identified: Female patients who are known to be pregnant, requiring special precautions to minimize fetal exposure during medical procedures involving ionizing radiation.</w:t>
      </w:r>
    </w:p>
    <w:p w14:paraId="7641E934"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Pregnancy Status Unknown: Female patients of reproductive age whose pregnancy status is not known, requiring special considerations and possibly pregnancy testing before procedures involving ionizing radiation.</w:t>
      </w:r>
    </w:p>
    <w:p w14:paraId="599C6AFF" w14:textId="77777777" w:rsidR="00F62C95" w:rsidRPr="00F62C95" w:rsidRDefault="00F62C95" w:rsidP="00F62C95">
      <w:pPr>
        <w:jc w:val="lowKashida"/>
        <w:rPr>
          <w:rFonts w:asciiTheme="majorBidi" w:hAnsiTheme="majorBidi" w:cstheme="majorBidi"/>
          <w:sz w:val="28"/>
          <w:szCs w:val="28"/>
        </w:rPr>
      </w:pPr>
      <w:r w:rsidRPr="00F62C95">
        <w:rPr>
          <w:rFonts w:asciiTheme="majorBidi" w:hAnsiTheme="majorBidi" w:cstheme="majorBidi"/>
          <w:sz w:val="28"/>
          <w:szCs w:val="28"/>
        </w:rPr>
        <w:t>For each of these categories, regulatory agencies and healthcare organizations implement guidelines, training programs, and protective measures to minimize radiation risks and ensure that individuals are adequately informed and protected from unnecessary exposure.</w:t>
      </w:r>
    </w:p>
    <w:p w14:paraId="60C1A342" w14:textId="77777777" w:rsidR="00F62C95" w:rsidRPr="00F62C95" w:rsidRDefault="00F62C95" w:rsidP="00F62C95">
      <w:pPr>
        <w:rPr>
          <w:rFonts w:asciiTheme="majorBidi" w:hAnsiTheme="majorBidi" w:cstheme="majorBidi"/>
          <w:sz w:val="28"/>
          <w:szCs w:val="28"/>
        </w:rPr>
      </w:pPr>
    </w:p>
    <w:p w14:paraId="7FA10705" w14:textId="77777777" w:rsidR="00F62C95" w:rsidRPr="00F62C95" w:rsidRDefault="00F62C95" w:rsidP="00F62C95">
      <w:pPr>
        <w:rPr>
          <w:rFonts w:asciiTheme="majorBidi" w:hAnsiTheme="majorBidi" w:cstheme="majorBidi"/>
          <w:sz w:val="28"/>
          <w:szCs w:val="28"/>
        </w:rPr>
      </w:pPr>
    </w:p>
    <w:p w14:paraId="5F97482B" w14:textId="77777777" w:rsidR="00F62C95" w:rsidRPr="00F62C95" w:rsidRDefault="00F62C95" w:rsidP="00F62C95">
      <w:pPr>
        <w:rPr>
          <w:rFonts w:asciiTheme="majorBidi" w:hAnsiTheme="majorBidi" w:cstheme="majorBidi"/>
          <w:sz w:val="28"/>
          <w:szCs w:val="28"/>
        </w:rPr>
      </w:pPr>
    </w:p>
    <w:p w14:paraId="49B8957A" w14:textId="77777777" w:rsidR="00F62C95" w:rsidRPr="00F62C95" w:rsidRDefault="00F62C95" w:rsidP="00F62C95">
      <w:pPr>
        <w:rPr>
          <w:rFonts w:asciiTheme="majorBidi" w:hAnsiTheme="majorBidi" w:cstheme="majorBidi"/>
          <w:sz w:val="28"/>
          <w:szCs w:val="28"/>
        </w:rPr>
      </w:pPr>
    </w:p>
    <w:p w14:paraId="494B4CD3" w14:textId="77777777" w:rsidR="00F62C95" w:rsidRPr="00F62C95" w:rsidRDefault="00F62C95" w:rsidP="00F62C95">
      <w:pPr>
        <w:rPr>
          <w:rFonts w:asciiTheme="majorBidi" w:hAnsiTheme="majorBidi" w:cstheme="majorBidi"/>
          <w:sz w:val="28"/>
          <w:szCs w:val="28"/>
        </w:rPr>
      </w:pPr>
    </w:p>
    <w:p w14:paraId="2354517F" w14:textId="77777777" w:rsidR="00F62C95" w:rsidRPr="00F62C95" w:rsidRDefault="00F62C95" w:rsidP="00F62C95">
      <w:pPr>
        <w:jc w:val="lowKashida"/>
        <w:rPr>
          <w:rFonts w:asciiTheme="majorBidi" w:hAnsiTheme="majorBidi" w:cstheme="majorBidi"/>
          <w:sz w:val="28"/>
          <w:szCs w:val="28"/>
        </w:rPr>
      </w:pPr>
    </w:p>
    <w:sectPr w:rsidR="00F62C95" w:rsidRPr="00F6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95"/>
    <w:rsid w:val="0034004C"/>
    <w:rsid w:val="00F62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C7FD"/>
  <w15:chartTrackingRefBased/>
  <w15:docId w15:val="{79BDEA59-DBC1-4C1C-8EFC-9F49591A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mohammed Ali</dc:creator>
  <cp:keywords/>
  <dc:description/>
  <cp:lastModifiedBy>Amir mohammed Ali</cp:lastModifiedBy>
  <cp:revision>1</cp:revision>
  <dcterms:created xsi:type="dcterms:W3CDTF">2024-03-26T06:34:00Z</dcterms:created>
  <dcterms:modified xsi:type="dcterms:W3CDTF">2024-03-26T06:41:00Z</dcterms:modified>
</cp:coreProperties>
</file>