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48" w:rsidRPr="00D01CB2" w:rsidRDefault="00A52548" w:rsidP="00A52548">
      <w:pPr>
        <w:jc w:val="center"/>
        <w:rPr>
          <w:b/>
          <w:bCs/>
          <w:color w:val="FF0000"/>
          <w:sz w:val="96"/>
          <w:szCs w:val="96"/>
          <w:rtl/>
          <w:lang w:bidi="ar-IQ"/>
        </w:rPr>
      </w:pPr>
      <w:bookmarkStart w:id="0" w:name="_GoBack"/>
      <w:bookmarkEnd w:id="0"/>
      <w:r w:rsidRPr="00D01CB2">
        <w:rPr>
          <w:rFonts w:hint="cs"/>
          <w:b/>
          <w:bCs/>
          <w:color w:val="FF0000"/>
          <w:sz w:val="72"/>
          <w:szCs w:val="72"/>
          <w:rtl/>
          <w:lang w:bidi="ar-IQ"/>
        </w:rPr>
        <w:t>وزارة التعليم العالي</w:t>
      </w:r>
    </w:p>
    <w:p w:rsidR="00A52548" w:rsidRPr="00D01CB2" w:rsidRDefault="00A52548" w:rsidP="00A52548">
      <w:pPr>
        <w:jc w:val="center"/>
        <w:rPr>
          <w:b/>
          <w:bCs/>
          <w:color w:val="FF0000"/>
          <w:sz w:val="72"/>
          <w:szCs w:val="72"/>
          <w:lang w:bidi="ar-IQ"/>
        </w:rPr>
      </w:pPr>
      <w:r w:rsidRPr="00D01CB2">
        <w:rPr>
          <w:b/>
          <w:bCs/>
          <w:color w:val="FF0000"/>
          <w:sz w:val="72"/>
          <w:szCs w:val="72"/>
          <w:rtl/>
        </w:rPr>
        <w:t>والبحث العلمي</w:t>
      </w:r>
    </w:p>
    <w:p w:rsidR="00A52548" w:rsidRPr="00D01CB2" w:rsidRDefault="00A52548" w:rsidP="00A52548">
      <w:pPr>
        <w:jc w:val="center"/>
        <w:rPr>
          <w:b/>
          <w:bCs/>
          <w:sz w:val="72"/>
          <w:szCs w:val="72"/>
          <w:rtl/>
        </w:rPr>
      </w:pPr>
    </w:p>
    <w:p w:rsidR="00A52548" w:rsidRPr="00D01CB2" w:rsidRDefault="00A52548" w:rsidP="00A52548">
      <w:pPr>
        <w:jc w:val="center"/>
        <w:rPr>
          <w:b/>
          <w:bCs/>
          <w:color w:val="002060"/>
          <w:sz w:val="72"/>
          <w:szCs w:val="72"/>
          <w:lang w:bidi="ar-IQ"/>
        </w:rPr>
      </w:pPr>
      <w:r w:rsidRPr="00D01CB2">
        <w:rPr>
          <w:b/>
          <w:bCs/>
          <w:color w:val="002060"/>
          <w:sz w:val="72"/>
          <w:szCs w:val="72"/>
          <w:rtl/>
        </w:rPr>
        <w:t>جامعة المستقبل</w:t>
      </w:r>
    </w:p>
    <w:p w:rsidR="00A52548" w:rsidRPr="00D01CB2" w:rsidRDefault="00A52548" w:rsidP="00A52548">
      <w:pPr>
        <w:jc w:val="center"/>
        <w:rPr>
          <w:b/>
          <w:bCs/>
          <w:color w:val="C00000"/>
          <w:sz w:val="72"/>
          <w:szCs w:val="72"/>
          <w:rtl/>
        </w:rPr>
      </w:pPr>
      <w:r w:rsidRPr="00D01CB2">
        <w:rPr>
          <w:b/>
          <w:bCs/>
          <w:color w:val="C00000"/>
          <w:sz w:val="72"/>
          <w:szCs w:val="72"/>
          <w:rtl/>
        </w:rPr>
        <w:t>كلية الآداب والعلوم الانسانية</w:t>
      </w:r>
    </w:p>
    <w:p w:rsidR="00A52548" w:rsidRPr="00D01CB2" w:rsidRDefault="00A52548" w:rsidP="00A52548">
      <w:pPr>
        <w:jc w:val="center"/>
        <w:rPr>
          <w:b/>
          <w:bCs/>
          <w:sz w:val="72"/>
          <w:szCs w:val="72"/>
          <w:rtl/>
        </w:rPr>
      </w:pPr>
      <w:r w:rsidRPr="00D01CB2">
        <w:rPr>
          <w:b/>
          <w:bCs/>
          <w:color w:val="C00000"/>
          <w:sz w:val="72"/>
          <w:szCs w:val="72"/>
          <w:rtl/>
        </w:rPr>
        <w:t>قسمي اللغة الانكليزية وآدابها والاثار</w:t>
      </w:r>
    </w:p>
    <w:p w:rsidR="00A52548" w:rsidRPr="00D01CB2" w:rsidRDefault="00A52548" w:rsidP="00A52548">
      <w:pPr>
        <w:jc w:val="center"/>
        <w:rPr>
          <w:b/>
          <w:bCs/>
          <w:color w:val="00B0F0"/>
          <w:sz w:val="72"/>
          <w:szCs w:val="72"/>
        </w:rPr>
      </w:pPr>
      <w:r w:rsidRPr="00D01CB2">
        <w:rPr>
          <w:b/>
          <w:bCs/>
          <w:color w:val="00B0F0"/>
          <w:sz w:val="72"/>
          <w:szCs w:val="72"/>
          <w:rtl/>
        </w:rPr>
        <w:t>المادة</w:t>
      </w:r>
    </w:p>
    <w:p w:rsidR="00A52548" w:rsidRPr="00D01CB2" w:rsidRDefault="00A52548" w:rsidP="00A52548">
      <w:pPr>
        <w:jc w:val="center"/>
        <w:rPr>
          <w:b/>
          <w:bCs/>
          <w:color w:val="00B0F0"/>
          <w:sz w:val="72"/>
          <w:szCs w:val="72"/>
          <w:rtl/>
        </w:rPr>
      </w:pPr>
      <w:r w:rsidRPr="00D01CB2">
        <w:rPr>
          <w:b/>
          <w:bCs/>
          <w:color w:val="00B0F0"/>
          <w:sz w:val="72"/>
          <w:szCs w:val="72"/>
          <w:rtl/>
        </w:rPr>
        <w:t>اثار العرب قبل الاسلام</w:t>
      </w:r>
    </w:p>
    <w:p w:rsidR="00A52548" w:rsidRPr="00D01CB2" w:rsidRDefault="00A52548" w:rsidP="00A52548">
      <w:pPr>
        <w:jc w:val="center"/>
        <w:rPr>
          <w:b/>
          <w:bCs/>
          <w:sz w:val="72"/>
          <w:szCs w:val="72"/>
          <w:rtl/>
          <w:lang w:bidi="ar-IQ"/>
        </w:rPr>
      </w:pPr>
    </w:p>
    <w:p w:rsidR="00A52548" w:rsidRPr="00D01CB2" w:rsidRDefault="00A52548" w:rsidP="00A52548">
      <w:pPr>
        <w:jc w:val="center"/>
        <w:rPr>
          <w:b/>
          <w:bCs/>
          <w:color w:val="7030A0"/>
          <w:sz w:val="72"/>
          <w:szCs w:val="72"/>
          <w:rtl/>
        </w:rPr>
      </w:pPr>
      <w:r w:rsidRPr="00D01CB2">
        <w:rPr>
          <w:b/>
          <w:bCs/>
          <w:color w:val="7030A0"/>
          <w:sz w:val="72"/>
          <w:szCs w:val="72"/>
          <w:rtl/>
        </w:rPr>
        <w:t>المرحلة الاولى</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الدكتورة</w:t>
      </w:r>
    </w:p>
    <w:p w:rsidR="00A52548" w:rsidRPr="00D01CB2" w:rsidRDefault="00A52548" w:rsidP="00A52548">
      <w:pPr>
        <w:jc w:val="center"/>
        <w:rPr>
          <w:b/>
          <w:bCs/>
          <w:sz w:val="72"/>
          <w:szCs w:val="72"/>
        </w:rPr>
      </w:pPr>
    </w:p>
    <w:p w:rsidR="00A52548" w:rsidRDefault="00A52548" w:rsidP="00A52548">
      <w:pPr>
        <w:jc w:val="center"/>
        <w:rPr>
          <w:b/>
          <w:bCs/>
          <w:sz w:val="72"/>
          <w:szCs w:val="72"/>
          <w:rtl/>
        </w:rPr>
      </w:pPr>
      <w:r w:rsidRPr="00D01CB2">
        <w:rPr>
          <w:b/>
          <w:bCs/>
          <w:sz w:val="72"/>
          <w:szCs w:val="72"/>
          <w:rtl/>
        </w:rPr>
        <w:t>فوزية مهدي المالكي</w:t>
      </w:r>
    </w:p>
    <w:p w:rsidR="00950698" w:rsidRDefault="00950698" w:rsidP="00A52548">
      <w:pPr>
        <w:jc w:val="center"/>
        <w:rPr>
          <w:b/>
          <w:bCs/>
          <w:sz w:val="72"/>
          <w:szCs w:val="72"/>
          <w:rtl/>
        </w:rPr>
      </w:pPr>
    </w:p>
    <w:p w:rsidR="00950698" w:rsidRDefault="00950698" w:rsidP="00A52548">
      <w:pPr>
        <w:jc w:val="center"/>
        <w:rPr>
          <w:b/>
          <w:bCs/>
          <w:sz w:val="72"/>
          <w:szCs w:val="72"/>
          <w:rtl/>
        </w:rPr>
      </w:pPr>
    </w:p>
    <w:p w:rsidR="00950698" w:rsidRDefault="00950698" w:rsidP="00950698">
      <w:pPr>
        <w:jc w:val="right"/>
        <w:rPr>
          <w:b/>
          <w:bCs/>
          <w:sz w:val="44"/>
          <w:szCs w:val="44"/>
        </w:rPr>
      </w:pPr>
    </w:p>
    <w:p w:rsidR="00950698" w:rsidRPr="00950698" w:rsidRDefault="00950698" w:rsidP="00950698">
      <w:pPr>
        <w:rPr>
          <w:b/>
          <w:bCs/>
          <w:sz w:val="44"/>
          <w:szCs w:val="44"/>
        </w:rPr>
      </w:pPr>
    </w:p>
    <w:p w:rsidR="009B60BF" w:rsidRPr="00AB6F4A" w:rsidRDefault="009B60BF" w:rsidP="009B60BF">
      <w:pPr>
        <w:jc w:val="right"/>
        <w:rPr>
          <w:color w:val="FF0000"/>
          <w:sz w:val="48"/>
          <w:szCs w:val="48"/>
        </w:rPr>
      </w:pPr>
    </w:p>
    <w:p w:rsidR="009B60BF" w:rsidRPr="00AB6F4A" w:rsidRDefault="009B60BF" w:rsidP="009B60BF">
      <w:pPr>
        <w:jc w:val="right"/>
        <w:rPr>
          <w:sz w:val="48"/>
          <w:szCs w:val="48"/>
          <w:lang w:bidi="ar-IQ"/>
        </w:rPr>
      </w:pPr>
      <w:r w:rsidRPr="00AB6F4A">
        <w:rPr>
          <w:sz w:val="48"/>
          <w:szCs w:val="48"/>
          <w:rtl/>
        </w:rPr>
        <w:t>يعتبر سوق عكاظ أكبر أسواق العرب في الجاهلية والإسلام، وهو أشهر ملتقى للتجارة والفكر والأدب والثقافة المتنوعة للقبائل العربية، والوافدين إلى السوق من أنحاء الجزيرة العربية، يحضره فحول الشعراء، والخطباء، والأدباء، ويمارس فيه رواد السوق الألعاب الرياضية ومنها الفروسية والعدو والرمي. كان للعرب أسواق موسمية في أوقات محددة في مواقع مختلفة في أنحاء الجزيرة العربية. وتجمع المصادر التاريخية والأدبية، على أن تاريخ بداية سوق عكاظ كان في حدود عام 501 للميلاد، أي قبل ظهور الإسلام بقرن من الزمان، كما أن سوق عكاظ ارتبط بنشأة الرسول صلى الله عليه وسلم، ونشر الإسلام بين قبائل العرب، والدعوة لدين الله.</w:t>
      </w:r>
    </w:p>
    <w:p w:rsidR="009B60BF" w:rsidRPr="00AB6F4A" w:rsidRDefault="009B60BF" w:rsidP="009B60BF">
      <w:pPr>
        <w:jc w:val="right"/>
        <w:rPr>
          <w:sz w:val="48"/>
          <w:szCs w:val="48"/>
        </w:rPr>
      </w:pPr>
    </w:p>
    <w:p w:rsidR="009B60BF" w:rsidRPr="00AB6F4A" w:rsidRDefault="009B60BF" w:rsidP="009B60BF">
      <w:pPr>
        <w:jc w:val="right"/>
        <w:rPr>
          <w:sz w:val="48"/>
          <w:szCs w:val="48"/>
          <w:rtl/>
        </w:rPr>
      </w:pPr>
      <w:r w:rsidRPr="00AB6F4A">
        <w:rPr>
          <w:sz w:val="48"/>
          <w:szCs w:val="48"/>
          <w:rtl/>
        </w:rPr>
        <w:t>تعد جبال العرفاء المجاورة لسوق عكاظ شرق الطائف من المواقع الأثرية المهمة، حيث تعتبر من أكبر مواقع النقوش الصخرية التي تضم بعض الرسوم الحيوانية مثل الماعز والغزلان ورسوم حيوانية أخرى تعود إلى مرحلة ما قبل الألف الثاني ق . م كما يوجد نقوش ثمودية وكتابات كوفية.</w:t>
      </w:r>
    </w:p>
    <w:p w:rsidR="009B60BF" w:rsidRPr="00AB6F4A" w:rsidRDefault="009B60BF" w:rsidP="009B60BF">
      <w:pPr>
        <w:jc w:val="right"/>
        <w:rPr>
          <w:sz w:val="48"/>
          <w:szCs w:val="48"/>
        </w:rPr>
      </w:pPr>
      <w:r w:rsidRPr="00AB6F4A">
        <w:rPr>
          <w:sz w:val="48"/>
          <w:szCs w:val="48"/>
          <w:rtl/>
        </w:rPr>
        <w:t xml:space="preserve">ومنطقة العرفاء هي امتداد لمنطقة سوق عكاظ الجغرافية من الناحية الشمالية، وسجلت أعمال المسح الأثري عدداً من مواقع الرسوم الصخرية، حيث سُجّلت أعداد كبيرة من الرسوم الآدمية والحيوانية، منها: مناظر معارك بالقوس والسهم، ومناظر لصيد الوعول باستخدام كلاب الصيد، </w:t>
      </w:r>
      <w:r w:rsidRPr="00AB6F4A">
        <w:rPr>
          <w:sz w:val="48"/>
          <w:szCs w:val="48"/>
          <w:rtl/>
        </w:rPr>
        <w:lastRenderedPageBreak/>
        <w:t>وأعداد كثيرة لرسوم الإنسان، ورسوم أبقار بقرون متجهة إلى الأمام، ورسوم الوسوم المختلفة الأشكال.</w:t>
      </w:r>
    </w:p>
    <w:p w:rsidR="009B60BF" w:rsidRPr="00AB6F4A" w:rsidRDefault="009B60BF" w:rsidP="009B60BF">
      <w:pPr>
        <w:jc w:val="right"/>
        <w:rPr>
          <w:color w:val="FF0000"/>
          <w:sz w:val="48"/>
          <w:szCs w:val="48"/>
        </w:rPr>
      </w:pPr>
      <w:r w:rsidRPr="00AB6F4A">
        <w:rPr>
          <w:color w:val="FF0000"/>
          <w:sz w:val="48"/>
          <w:szCs w:val="48"/>
          <w:rtl/>
        </w:rPr>
        <w:t>سدود الطائف</w:t>
      </w:r>
    </w:p>
    <w:p w:rsidR="009B60BF" w:rsidRPr="00AB6F4A" w:rsidRDefault="009B60BF" w:rsidP="009B60BF">
      <w:pPr>
        <w:jc w:val="right"/>
        <w:rPr>
          <w:sz w:val="48"/>
          <w:szCs w:val="48"/>
          <w:rtl/>
          <w:lang w:bidi="ar-IQ"/>
        </w:rPr>
      </w:pPr>
      <w:r w:rsidRPr="00AB6F4A">
        <w:rPr>
          <w:sz w:val="48"/>
          <w:szCs w:val="48"/>
          <w:rtl/>
        </w:rPr>
        <w:t>تضم الطائف سلسلة من المواقع الأثرية والتاريخية ومنها السدود الأثرية التي اشتهرت بها الطائف نظرًا لكثرة أوديتها وبساتينها واعتمادها على مياه الامطار. ولأن الزراعة تمثل المهنة الأولى لسكان الطائف، فقد كان بها أكثر من (70) سداً تاريخياً بُنيت في عصور مختلفة من قبل الإسلام إلى عصر صدر الإسلام والخلفاء الراشدين، مروراً بعهد الدولة الأموية والعباسية والفاطمية، وما زال منها أكثر من (20) سداً قائماً، في أطر معمارية مختلفة وتصاميم هندسية فريدة، منها ما هو مؤرخ بناءه بلوح تأسيسي نقش على الصخر ليبقى شاهداً على إنشائة لعصور طويلة</w:t>
      </w:r>
    </w:p>
    <w:p w:rsidR="009B60BF" w:rsidRPr="00AB6F4A" w:rsidRDefault="009B60BF" w:rsidP="009B60BF">
      <w:pPr>
        <w:jc w:val="right"/>
        <w:rPr>
          <w:sz w:val="48"/>
          <w:szCs w:val="48"/>
          <w:rtl/>
        </w:rPr>
      </w:pPr>
    </w:p>
    <w:p w:rsidR="00950698" w:rsidRPr="00950698" w:rsidRDefault="00950698" w:rsidP="009B60BF">
      <w:pPr>
        <w:rPr>
          <w:b/>
          <w:bCs/>
          <w:sz w:val="44"/>
          <w:szCs w:val="44"/>
        </w:rPr>
      </w:pPr>
    </w:p>
    <w:sectPr w:rsidR="00950698" w:rsidRPr="00950698" w:rsidSect="00DA297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E"/>
    <w:rsid w:val="00287220"/>
    <w:rsid w:val="00810306"/>
    <w:rsid w:val="00950698"/>
    <w:rsid w:val="009B60BF"/>
    <w:rsid w:val="00A52548"/>
    <w:rsid w:val="00B3597E"/>
    <w:rsid w:val="00DA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8"/>
    <w:pPr>
      <w:spacing w:after="0" w:line="240" w:lineRule="auto"/>
    </w:pPr>
    <w:rPr>
      <w:rFonts w:ascii="Times New Roman" w:eastAsia="PMingLiU"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2024-04-03T13:07:00Z</dcterms:created>
  <dcterms:modified xsi:type="dcterms:W3CDTF">2024-04-03T13:07:00Z</dcterms:modified>
</cp:coreProperties>
</file>