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b/>
          <w:bCs/>
          <w:color w:val="FF0000"/>
          <w:sz w:val="28"/>
          <w:szCs w:val="28"/>
        </w:rPr>
      </w:pPr>
      <w:bookmarkStart w:id="0" w:name="_Hlk40578461"/>
      <w:bookmarkStart w:id="1" w:name="_Hlk40715804"/>
      <w:r w:rsidRPr="00297E5E">
        <w:rPr>
          <w:rFonts w:ascii="Times New Roman" w:eastAsia="Calibri" w:hAnsi="Times New Roman" w:cs="Times New Roman"/>
          <w:b/>
          <w:bCs/>
          <w:color w:val="FF0000"/>
          <w:sz w:val="28"/>
          <w:szCs w:val="28"/>
        </w:rPr>
        <w:t xml:space="preserve">Cost estimation approaches </w:t>
      </w:r>
    </w:p>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Just as costs can be broken down into several categories, there are several approaches available </w:t>
      </w:r>
      <w:bookmarkEnd w:id="0"/>
      <w:r w:rsidRPr="00297E5E">
        <w:rPr>
          <w:rFonts w:ascii="Times New Roman" w:eastAsia="Calibri" w:hAnsi="Times New Roman" w:cs="Times New Roman"/>
          <w:sz w:val="28"/>
          <w:szCs w:val="28"/>
        </w:rPr>
        <w:t xml:space="preserve">to estimate costs. They include cost accounting methods, such as step-down </w:t>
      </w:r>
      <w:bookmarkEnd w:id="1"/>
      <w:r w:rsidRPr="00297E5E">
        <w:rPr>
          <w:rFonts w:ascii="Times New Roman" w:eastAsia="Calibri" w:hAnsi="Times New Roman" w:cs="Times New Roman"/>
          <w:sz w:val="28"/>
          <w:szCs w:val="28"/>
        </w:rPr>
        <w:t>cost accounting (SDCA) and activity-based costing (ABC). Researchers should decide whether to collect costs by aggregating individual cost elements (bottom-up approaches) or by disaggregating high-level expenditures into cost categories or facilities (top-down approaches). Mixed methods costing allows these accounting methods to be combined to suit the needs of the costing study.</w:t>
      </w:r>
    </w:p>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sz w:val="28"/>
          <w:szCs w:val="28"/>
        </w:rPr>
      </w:pPr>
    </w:p>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sz w:val="28"/>
          <w:szCs w:val="28"/>
        </w:rPr>
      </w:pPr>
      <w:bookmarkStart w:id="2" w:name="_Hlk40578892"/>
      <w:r w:rsidRPr="00297E5E">
        <w:rPr>
          <w:rFonts w:ascii="Times New Roman" w:eastAsia="Calibri" w:hAnsi="Times New Roman" w:cs="Times New Roman"/>
          <w:b/>
          <w:bCs/>
          <w:sz w:val="28"/>
          <w:szCs w:val="28"/>
        </w:rPr>
        <w:t xml:space="preserve">Step-down cost accounting </w:t>
      </w:r>
      <w:r w:rsidRPr="00297E5E">
        <w:rPr>
          <w:rFonts w:ascii="Times New Roman" w:eastAsia="Calibri" w:hAnsi="Times New Roman" w:cs="Times New Roman"/>
          <w:sz w:val="28"/>
          <w:szCs w:val="28"/>
        </w:rPr>
        <w:t>is an analytical approach to calculating unit costs that relies on a step-by-step approach. SDCA is typically broken into six or seven steps (Figure 3.3).</w:t>
      </w:r>
    </w:p>
    <w:bookmarkEnd w:id="2"/>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sz w:val="28"/>
          <w:szCs w:val="28"/>
        </w:rPr>
      </w:pPr>
    </w:p>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sz w:val="28"/>
          <w:szCs w:val="28"/>
        </w:rPr>
      </w:pPr>
      <w:r w:rsidRPr="00297E5E">
        <w:rPr>
          <w:rFonts w:ascii="Calibri" w:eastAsia="Calibri" w:hAnsi="Calibri" w:cs="Arial"/>
          <w:noProof/>
        </w:rPr>
        <w:drawing>
          <wp:inline distT="0" distB="0" distL="0" distR="0" wp14:anchorId="0B1F7D00" wp14:editId="520B2910">
            <wp:extent cx="2765574" cy="4185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5574" cy="4185138"/>
                    </a:xfrm>
                    <a:prstGeom prst="rect">
                      <a:avLst/>
                    </a:prstGeom>
                    <a:noFill/>
                    <a:ln>
                      <a:noFill/>
                    </a:ln>
                  </pic:spPr>
                </pic:pic>
              </a:graphicData>
            </a:graphic>
          </wp:inline>
        </w:drawing>
      </w:r>
    </w:p>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b/>
          <w:bCs/>
          <w:sz w:val="24"/>
          <w:szCs w:val="24"/>
        </w:rPr>
      </w:pPr>
      <w:bookmarkStart w:id="3" w:name="_Hlk40716434"/>
      <w:r w:rsidRPr="00297E5E">
        <w:rPr>
          <w:rFonts w:ascii="Times New Roman" w:eastAsia="Calibri" w:hAnsi="Times New Roman" w:cs="Times New Roman"/>
          <w:b/>
          <w:bCs/>
          <w:sz w:val="24"/>
          <w:szCs w:val="24"/>
        </w:rPr>
        <w:t>Figure 3.3 Step-down cost accounting steps.</w:t>
      </w:r>
    </w:p>
    <w:bookmarkEnd w:id="3"/>
    <w:p w:rsidR="00297E5E" w:rsidRPr="00297E5E" w:rsidRDefault="00297E5E" w:rsidP="00297E5E">
      <w:pPr>
        <w:autoSpaceDE w:val="0"/>
        <w:autoSpaceDN w:val="0"/>
        <w:adjustRightInd w:val="0"/>
        <w:spacing w:after="0" w:line="240" w:lineRule="auto"/>
        <w:jc w:val="both"/>
        <w:rPr>
          <w:rFonts w:ascii="Times New Roman" w:eastAsia="Calibri" w:hAnsi="Times New Roman" w:cs="Times New Roman"/>
          <w:b/>
          <w:bCs/>
          <w:sz w:val="24"/>
          <w:szCs w:val="24"/>
        </w:rPr>
      </w:pP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b/>
          <w:bCs/>
          <w:sz w:val="28"/>
          <w:szCs w:val="28"/>
        </w:rPr>
        <w:t xml:space="preserve">Activity-based costing </w:t>
      </w:r>
      <w:r w:rsidRPr="00297E5E">
        <w:rPr>
          <w:rFonts w:ascii="Times New Roman" w:eastAsia="Calibri" w:hAnsi="Times New Roman" w:cs="Times New Roman"/>
          <w:sz w:val="28"/>
          <w:szCs w:val="28"/>
        </w:rPr>
        <w:t>assigns resource costs to cost objects, such as products, services, or customers, based on the activities performed. ABC is considered a better way of costing clinically-provided services compared with traditional costing approaches that measure costs at the departmental level using top-down allocation procedures.</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In a study of a hospital in Iran, researchers used ABC to calculate the costs of medical services using ABC and a more traditional approach. </w:t>
      </w:r>
      <w:r w:rsidRPr="00297E5E">
        <w:rPr>
          <w:rFonts w:ascii="Times New Roman" w:eastAsia="Calibri" w:hAnsi="Times New Roman" w:cs="Times New Roman"/>
          <w:sz w:val="28"/>
          <w:szCs w:val="28"/>
        </w:rPr>
        <w:lastRenderedPageBreak/>
        <w:t>The study revealed significant differences in the cost estimates using the two approaches. For example, emergency visit costs per patient were estimated as $29.21 using ABC compared with $19.20 using a more traditional approach. Similarly, radiology costs per patient were estimated at $4.01 versus $1.79 for ABC and a traditional approach, respectively.</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bookmarkStart w:id="4" w:name="_Hlk40716608"/>
      <w:bookmarkStart w:id="5" w:name="_Hlk40717852"/>
      <w:r w:rsidRPr="00297E5E">
        <w:rPr>
          <w:rFonts w:ascii="Times New Roman" w:eastAsia="Calibri" w:hAnsi="Times New Roman" w:cs="Times New Roman"/>
          <w:b/>
          <w:bCs/>
          <w:color w:val="FF0000"/>
          <w:sz w:val="28"/>
          <w:szCs w:val="28"/>
        </w:rPr>
        <w:t xml:space="preserve">Bottom-up versus top-down approaches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b/>
          <w:bCs/>
          <w:sz w:val="28"/>
          <w:szCs w:val="28"/>
        </w:rPr>
        <w:t xml:space="preserve">Bottom-up approaches </w:t>
      </w:r>
      <w:r w:rsidRPr="00297E5E">
        <w:rPr>
          <w:rFonts w:ascii="Times New Roman" w:eastAsia="Calibri" w:hAnsi="Times New Roman" w:cs="Times New Roman"/>
          <w:sz w:val="28"/>
          <w:szCs w:val="28"/>
        </w:rPr>
        <w:t xml:space="preserve">may be either retrospective or prospective, and often lead to more detailed, accurate, and reliable cost estimates. Possible data sources for </w:t>
      </w:r>
      <w:bookmarkEnd w:id="4"/>
      <w:r w:rsidRPr="00297E5E">
        <w:rPr>
          <w:rFonts w:ascii="Times New Roman" w:eastAsia="Calibri" w:hAnsi="Times New Roman" w:cs="Times New Roman"/>
          <w:sz w:val="28"/>
          <w:szCs w:val="28"/>
        </w:rPr>
        <w:t xml:space="preserve">bottom-up </w:t>
      </w:r>
      <w:bookmarkEnd w:id="5"/>
      <w:r w:rsidRPr="00297E5E">
        <w:rPr>
          <w:rFonts w:ascii="Times New Roman" w:eastAsia="Calibri" w:hAnsi="Times New Roman" w:cs="Times New Roman"/>
          <w:sz w:val="28"/>
          <w:szCs w:val="28"/>
        </w:rPr>
        <w:t>approaches are inventories, supply lists, or use of direct observation and patient flow analyses. Bottom-up approaches to data collection and analysis are time consuming.</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Because </w:t>
      </w:r>
      <w:r w:rsidRPr="00297E5E">
        <w:rPr>
          <w:rFonts w:ascii="Times New Roman" w:eastAsia="Calibri" w:hAnsi="Times New Roman" w:cs="Times New Roman"/>
          <w:b/>
          <w:bCs/>
          <w:sz w:val="28"/>
          <w:szCs w:val="28"/>
        </w:rPr>
        <w:t xml:space="preserve">top-down approaches </w:t>
      </w:r>
      <w:r w:rsidRPr="00297E5E">
        <w:rPr>
          <w:rFonts w:ascii="Times New Roman" w:eastAsia="Calibri" w:hAnsi="Times New Roman" w:cs="Times New Roman"/>
          <w:sz w:val="28"/>
          <w:szCs w:val="28"/>
        </w:rPr>
        <w:t>frequently rely on financial and accounting records and other databases, they are retrospective. Top-down approaches rely on comprehensive data sources and aggregated cost data. Top-down approaches tend to be more efficient and less time-consuming but risk some loss of accuracy in the estimations they provide.</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Sometimes used interchangeably with bottom-up and top-down costing, </w:t>
      </w:r>
      <w:r w:rsidRPr="00297E5E">
        <w:rPr>
          <w:rFonts w:ascii="Times New Roman" w:eastAsia="Calibri" w:hAnsi="Times New Roman" w:cs="Times New Roman"/>
          <w:b/>
          <w:bCs/>
          <w:sz w:val="28"/>
          <w:szCs w:val="28"/>
        </w:rPr>
        <w:t xml:space="preserve">micro costing </w:t>
      </w:r>
      <w:r w:rsidRPr="00297E5E">
        <w:rPr>
          <w:rFonts w:ascii="Times New Roman" w:eastAsia="Calibri" w:hAnsi="Times New Roman" w:cs="Times New Roman"/>
          <w:sz w:val="28"/>
          <w:szCs w:val="28"/>
        </w:rPr>
        <w:t xml:space="preserve">and </w:t>
      </w:r>
      <w:r w:rsidRPr="00297E5E">
        <w:rPr>
          <w:rFonts w:ascii="Times New Roman" w:eastAsia="Calibri" w:hAnsi="Times New Roman" w:cs="Times New Roman"/>
          <w:b/>
          <w:bCs/>
          <w:sz w:val="28"/>
          <w:szCs w:val="28"/>
        </w:rPr>
        <w:t xml:space="preserve">gross costing </w:t>
      </w:r>
      <w:r w:rsidRPr="00297E5E">
        <w:rPr>
          <w:rFonts w:ascii="Times New Roman" w:eastAsia="Calibri" w:hAnsi="Times New Roman" w:cs="Times New Roman"/>
          <w:sz w:val="28"/>
          <w:szCs w:val="28"/>
        </w:rPr>
        <w:t xml:space="preserve">methods are additional methodological approaches that can be layered on top of a top-down or bottom-up approach. </w:t>
      </w:r>
      <w:r w:rsidRPr="00297E5E">
        <w:rPr>
          <w:rFonts w:ascii="Times New Roman" w:eastAsia="Calibri" w:hAnsi="Times New Roman" w:cs="Times New Roman"/>
          <w:b/>
          <w:bCs/>
          <w:sz w:val="28"/>
          <w:szCs w:val="28"/>
        </w:rPr>
        <w:t xml:space="preserve">Micro costing </w:t>
      </w:r>
      <w:r w:rsidRPr="00297E5E">
        <w:rPr>
          <w:rFonts w:ascii="Times New Roman" w:eastAsia="Calibri" w:hAnsi="Times New Roman" w:cs="Times New Roman"/>
          <w:sz w:val="28"/>
          <w:szCs w:val="28"/>
        </w:rPr>
        <w:t xml:space="preserve">focuses on highly detailed cost inputs. When done using a bottom-up approach, micro costing is most likely to provide an accurate identification </w:t>
      </w:r>
      <w:r w:rsidRPr="00297E5E">
        <w:rPr>
          <w:rFonts w:ascii="Times New Roman" w:eastAsia="Calibri" w:hAnsi="Times New Roman" w:cs="Times New Roman"/>
          <w:i/>
          <w:iCs/>
          <w:sz w:val="28"/>
          <w:szCs w:val="28"/>
        </w:rPr>
        <w:t xml:space="preserve">and </w:t>
      </w:r>
      <w:r w:rsidRPr="00297E5E">
        <w:rPr>
          <w:rFonts w:ascii="Times New Roman" w:eastAsia="Calibri" w:hAnsi="Times New Roman" w:cs="Times New Roman"/>
          <w:sz w:val="28"/>
          <w:szCs w:val="28"/>
        </w:rPr>
        <w:t>valuation of resources (Figure 3.4).</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b/>
          <w:bCs/>
          <w:sz w:val="28"/>
          <w:szCs w:val="28"/>
        </w:rPr>
        <w:t xml:space="preserve">     Gross costing </w:t>
      </w:r>
      <w:r w:rsidRPr="00297E5E">
        <w:rPr>
          <w:rFonts w:ascii="Times New Roman" w:eastAsia="Calibri" w:hAnsi="Times New Roman" w:cs="Times New Roman"/>
          <w:sz w:val="28"/>
          <w:szCs w:val="28"/>
        </w:rPr>
        <w:t>approaches use aggregate information on resource use, commonly estimating total costs and dividing by the relevant unit of interest.</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Calibri" w:eastAsia="Calibri" w:hAnsi="Calibri" w:cs="Arial"/>
          <w:noProof/>
        </w:rPr>
        <w:drawing>
          <wp:inline distT="0" distB="0" distL="0" distR="0" wp14:anchorId="11333045" wp14:editId="73CF784B">
            <wp:extent cx="3147646" cy="2055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2656" cy="2084950"/>
                    </a:xfrm>
                    <a:prstGeom prst="rect">
                      <a:avLst/>
                    </a:prstGeom>
                    <a:noFill/>
                    <a:ln>
                      <a:noFill/>
                    </a:ln>
                  </pic:spPr>
                </pic:pic>
              </a:graphicData>
            </a:graphic>
          </wp:inline>
        </w:drawing>
      </w:r>
    </w:p>
    <w:p w:rsidR="00297E5E" w:rsidRPr="00297E5E" w:rsidRDefault="00297E5E" w:rsidP="00297E5E">
      <w:pPr>
        <w:spacing w:after="0" w:line="240" w:lineRule="auto"/>
        <w:jc w:val="both"/>
        <w:rPr>
          <w:rFonts w:ascii="Times New Roman" w:eastAsia="Calibri" w:hAnsi="Times New Roman" w:cs="Times New Roman"/>
          <w:b/>
          <w:bCs/>
          <w:sz w:val="24"/>
          <w:szCs w:val="24"/>
        </w:rPr>
      </w:pPr>
      <w:bookmarkStart w:id="6" w:name="_Hlk40717795"/>
      <w:r w:rsidRPr="00297E5E">
        <w:rPr>
          <w:rFonts w:ascii="Times New Roman" w:eastAsia="Calibri" w:hAnsi="Times New Roman" w:cs="Times New Roman"/>
          <w:b/>
          <w:bCs/>
          <w:sz w:val="24"/>
          <w:szCs w:val="24"/>
        </w:rPr>
        <w:t>Figure 3.4 Cost estimation method matrix.</w:t>
      </w:r>
    </w:p>
    <w:bookmarkEnd w:id="6"/>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r w:rsidRPr="00297E5E">
        <w:rPr>
          <w:rFonts w:ascii="Times New Roman" w:eastAsia="Calibri" w:hAnsi="Times New Roman" w:cs="Times New Roman"/>
          <w:b/>
          <w:bCs/>
          <w:color w:val="FF0000"/>
          <w:sz w:val="28"/>
          <w:szCs w:val="28"/>
        </w:rPr>
        <w:t xml:space="preserve">Data sources and measurement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Sources of cost data are extensive. In some cases, data will be collected from </w:t>
      </w:r>
      <w:r w:rsidRPr="00297E5E">
        <w:rPr>
          <w:rFonts w:ascii="Times New Roman" w:eastAsia="Calibri" w:hAnsi="Times New Roman" w:cs="Times New Roman"/>
          <w:b/>
          <w:bCs/>
          <w:sz w:val="28"/>
          <w:szCs w:val="28"/>
        </w:rPr>
        <w:t>existing sources</w:t>
      </w:r>
      <w:r w:rsidRPr="00297E5E">
        <w:rPr>
          <w:rFonts w:ascii="Times New Roman" w:eastAsia="Calibri" w:hAnsi="Times New Roman" w:cs="Times New Roman"/>
          <w:sz w:val="28"/>
          <w:szCs w:val="28"/>
        </w:rPr>
        <w:t xml:space="preserve">, such as financial reporting or payroll systems; records for such expenditures as utilities; reimbursements and </w:t>
      </w:r>
      <w:proofErr w:type="spellStart"/>
      <w:r w:rsidRPr="00297E5E">
        <w:rPr>
          <w:rFonts w:ascii="Times New Roman" w:eastAsia="Calibri" w:hAnsi="Times New Roman" w:cs="Times New Roman"/>
          <w:sz w:val="28"/>
          <w:szCs w:val="28"/>
        </w:rPr>
        <w:t>subgrant</w:t>
      </w:r>
      <w:proofErr w:type="spellEnd"/>
      <w:r w:rsidRPr="00297E5E">
        <w:rPr>
          <w:rFonts w:ascii="Times New Roman" w:eastAsia="Calibri" w:hAnsi="Times New Roman" w:cs="Times New Roman"/>
          <w:sz w:val="28"/>
          <w:szCs w:val="28"/>
        </w:rPr>
        <w:t xml:space="preserve"> </w:t>
      </w:r>
      <w:r w:rsidRPr="00297E5E">
        <w:rPr>
          <w:rFonts w:ascii="Times New Roman" w:eastAsia="Calibri" w:hAnsi="Times New Roman" w:cs="Times New Roman"/>
          <w:sz w:val="28"/>
          <w:szCs w:val="28"/>
        </w:rPr>
        <w:lastRenderedPageBreak/>
        <w:t xml:space="preserve">payments; pay slips; procurement records, etc. Depending on the research question of interest and the availability (or lack thereof) of records, the researcher can collect specific cost-related data through more </w:t>
      </w:r>
      <w:r w:rsidRPr="00297E5E">
        <w:rPr>
          <w:rFonts w:ascii="Times New Roman" w:eastAsia="Calibri" w:hAnsi="Times New Roman" w:cs="Times New Roman"/>
          <w:b/>
          <w:bCs/>
          <w:sz w:val="28"/>
          <w:szCs w:val="28"/>
        </w:rPr>
        <w:t xml:space="preserve">direct methods or tools, </w:t>
      </w:r>
      <w:r w:rsidRPr="00297E5E">
        <w:rPr>
          <w:rFonts w:ascii="Times New Roman" w:eastAsia="Calibri" w:hAnsi="Times New Roman" w:cs="Times New Roman"/>
          <w:sz w:val="28"/>
          <w:szCs w:val="28"/>
        </w:rPr>
        <w:t>such as interviewing, observation, or surveys. Figure 3.5 presents a basic overview of the relationships among measurement methods, the data collection time, and sources of cost data.</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Calibri" w:eastAsia="Calibri" w:hAnsi="Calibri" w:cs="Arial"/>
          <w:noProof/>
        </w:rPr>
        <w:drawing>
          <wp:inline distT="0" distB="0" distL="0" distR="0" wp14:anchorId="7946BC0B" wp14:editId="29A8FA4B">
            <wp:extent cx="5274310" cy="161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617345"/>
                    </a:xfrm>
                    <a:prstGeom prst="rect">
                      <a:avLst/>
                    </a:prstGeom>
                    <a:noFill/>
                    <a:ln>
                      <a:noFill/>
                    </a:ln>
                  </pic:spPr>
                </pic:pic>
              </a:graphicData>
            </a:graphic>
          </wp:inline>
        </w:drawing>
      </w:r>
    </w:p>
    <w:p w:rsidR="00297E5E" w:rsidRPr="00297E5E" w:rsidRDefault="00297E5E" w:rsidP="00297E5E">
      <w:pPr>
        <w:spacing w:after="0" w:line="240" w:lineRule="auto"/>
        <w:jc w:val="both"/>
        <w:rPr>
          <w:rFonts w:ascii="Times New Roman" w:eastAsia="Calibri" w:hAnsi="Times New Roman" w:cs="Times New Roman"/>
          <w:b/>
          <w:bCs/>
          <w:sz w:val="24"/>
          <w:szCs w:val="24"/>
        </w:rPr>
      </w:pPr>
      <w:bookmarkStart w:id="7" w:name="_Hlk40718872"/>
      <w:r w:rsidRPr="00297E5E">
        <w:rPr>
          <w:rFonts w:ascii="Times New Roman" w:eastAsia="Calibri" w:hAnsi="Times New Roman" w:cs="Times New Roman"/>
          <w:b/>
          <w:bCs/>
          <w:sz w:val="24"/>
          <w:szCs w:val="24"/>
        </w:rPr>
        <w:t>Figure 3.5 Relationships among measurement methods, data collection time, and data sources.</w:t>
      </w:r>
    </w:p>
    <w:bookmarkEnd w:id="7"/>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bookmarkStart w:id="8" w:name="_Hlk40718255"/>
      <w:r w:rsidRPr="00297E5E">
        <w:rPr>
          <w:rFonts w:ascii="Times New Roman" w:eastAsia="Calibri" w:hAnsi="Times New Roman" w:cs="Times New Roman"/>
          <w:b/>
          <w:bCs/>
          <w:color w:val="FF0000"/>
          <w:sz w:val="28"/>
          <w:szCs w:val="28"/>
        </w:rPr>
        <w:t xml:space="preserve">Sampling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Depending on the nature of the costing activity taking place, there may be a need </w:t>
      </w:r>
      <w:bookmarkEnd w:id="8"/>
      <w:r w:rsidRPr="00297E5E">
        <w:rPr>
          <w:rFonts w:ascii="Times New Roman" w:eastAsia="Calibri" w:hAnsi="Times New Roman" w:cs="Times New Roman"/>
          <w:sz w:val="28"/>
          <w:szCs w:val="28"/>
        </w:rPr>
        <w:t>for sampling sites or clinics. First, whether sampling is needed should be decided based on the number of sites, organizations, or entities from which data need to be collected. If the number is small, it may be feasible to collect information from every facility or location. If the number of sites is too large, then sampling is needed.</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b/>
          <w:bCs/>
          <w:color w:val="0070C0"/>
          <w:sz w:val="32"/>
          <w:szCs w:val="32"/>
        </w:rPr>
      </w:pPr>
      <w:bookmarkStart w:id="9" w:name="_Hlk40718629"/>
      <w:r w:rsidRPr="00297E5E">
        <w:rPr>
          <w:rFonts w:ascii="Times New Roman" w:eastAsia="Calibri" w:hAnsi="Times New Roman" w:cs="Times New Roman"/>
          <w:b/>
          <w:bCs/>
          <w:color w:val="0070C0"/>
          <w:sz w:val="32"/>
          <w:szCs w:val="32"/>
        </w:rPr>
        <w:t xml:space="preserve">Analyzing and Presenting Cost Data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After the cost data have been collected from a variety of sources, they should be organized </w:t>
      </w:r>
      <w:bookmarkEnd w:id="9"/>
      <w:r w:rsidRPr="00297E5E">
        <w:rPr>
          <w:rFonts w:ascii="Times New Roman" w:eastAsia="Calibri" w:hAnsi="Times New Roman" w:cs="Times New Roman"/>
          <w:sz w:val="28"/>
          <w:szCs w:val="28"/>
        </w:rPr>
        <w:t>and analyzed to be of use to decision makers.</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r w:rsidRPr="00297E5E">
        <w:rPr>
          <w:rFonts w:ascii="Times New Roman" w:eastAsia="Calibri" w:hAnsi="Times New Roman" w:cs="Times New Roman"/>
          <w:b/>
          <w:bCs/>
          <w:color w:val="FF0000"/>
          <w:sz w:val="28"/>
          <w:szCs w:val="28"/>
        </w:rPr>
        <w:t xml:space="preserve">Cost studies and cost systems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b/>
          <w:bCs/>
          <w:sz w:val="28"/>
          <w:szCs w:val="28"/>
        </w:rPr>
        <w:t xml:space="preserve">Cost studies </w:t>
      </w:r>
      <w:r w:rsidRPr="00297E5E">
        <w:rPr>
          <w:rFonts w:ascii="Times New Roman" w:eastAsia="Calibri" w:hAnsi="Times New Roman" w:cs="Times New Roman"/>
          <w:sz w:val="28"/>
          <w:szCs w:val="28"/>
        </w:rPr>
        <w:t xml:space="preserve">are often one-off studies that differ in approach and structure based on the existing records that are in place at an organization. There is usually great variation in the cost elements included, the methods used to gather costs, and geographic coverage, making comparisons and use of the data in other settings difficult.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A </w:t>
      </w:r>
      <w:r w:rsidRPr="00297E5E">
        <w:rPr>
          <w:rFonts w:ascii="Times New Roman" w:eastAsia="Calibri" w:hAnsi="Times New Roman" w:cs="Times New Roman"/>
          <w:b/>
          <w:bCs/>
          <w:sz w:val="28"/>
          <w:szCs w:val="28"/>
        </w:rPr>
        <w:t xml:space="preserve">cost system </w:t>
      </w:r>
      <w:r w:rsidRPr="00297E5E">
        <w:rPr>
          <w:rFonts w:ascii="Times New Roman" w:eastAsia="Calibri" w:hAnsi="Times New Roman" w:cs="Times New Roman"/>
          <w:sz w:val="28"/>
          <w:szCs w:val="28"/>
        </w:rPr>
        <w:t>is a tool that makes use of the widespread availability of routine data at health service delivery organizations to collect cost data routinely using existing records. It treats cost data as M&amp;E data, enabling organizations to use cost data to inform program management and decision making.</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w:t>
      </w:r>
      <w:bookmarkStart w:id="10" w:name="_Hlk40718994"/>
      <w:r w:rsidRPr="00297E5E">
        <w:rPr>
          <w:rFonts w:ascii="Times New Roman" w:eastAsia="Calibri" w:hAnsi="Times New Roman" w:cs="Times New Roman"/>
          <w:sz w:val="28"/>
          <w:szCs w:val="28"/>
        </w:rPr>
        <w:t xml:space="preserve">Figure 3.6 is an example of a comparison of family planning cost studies. The example looks at the cost per visit for </w:t>
      </w:r>
      <w:proofErr w:type="spellStart"/>
      <w:r w:rsidRPr="00297E5E">
        <w:rPr>
          <w:rFonts w:ascii="Times New Roman" w:eastAsia="Calibri" w:hAnsi="Times New Roman" w:cs="Times New Roman"/>
          <w:sz w:val="28"/>
          <w:szCs w:val="28"/>
        </w:rPr>
        <w:t>injectables</w:t>
      </w:r>
      <w:proofErr w:type="spellEnd"/>
      <w:r w:rsidRPr="00297E5E">
        <w:rPr>
          <w:rFonts w:ascii="Times New Roman" w:eastAsia="Calibri" w:hAnsi="Times New Roman" w:cs="Times New Roman"/>
          <w:sz w:val="28"/>
          <w:szCs w:val="28"/>
        </w:rPr>
        <w:t xml:space="preserve">, a type of </w:t>
      </w:r>
      <w:r w:rsidRPr="00297E5E">
        <w:rPr>
          <w:rFonts w:ascii="Times New Roman" w:eastAsia="Calibri" w:hAnsi="Times New Roman" w:cs="Times New Roman"/>
          <w:sz w:val="28"/>
          <w:szCs w:val="28"/>
        </w:rPr>
        <w:lastRenderedPageBreak/>
        <w:t xml:space="preserve">long-lasting </w:t>
      </w:r>
      <w:bookmarkEnd w:id="10"/>
      <w:r w:rsidRPr="00297E5E">
        <w:rPr>
          <w:rFonts w:ascii="Times New Roman" w:eastAsia="Calibri" w:hAnsi="Times New Roman" w:cs="Times New Roman"/>
          <w:sz w:val="28"/>
          <w:szCs w:val="28"/>
        </w:rPr>
        <w:t>reversible contraceptive. In this situation, there is an interest in understanding how the variation can be due to differences in the service delivery approach (was service delivery at a clinic or in the community?), differences in salaries for personnel, or other programmatic features. Unfortunately, conclusions about the impact of a program feature cannot be drawn, because of the wide variation in methods used for these studies.</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Calibri" w:eastAsia="Calibri" w:hAnsi="Calibri" w:cs="Arial"/>
          <w:noProof/>
        </w:rPr>
        <w:drawing>
          <wp:inline distT="0" distB="0" distL="0" distR="0" wp14:anchorId="5296D24E" wp14:editId="7F0EE9FA">
            <wp:extent cx="5274310" cy="206629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066290"/>
                    </a:xfrm>
                    <a:prstGeom prst="rect">
                      <a:avLst/>
                    </a:prstGeom>
                    <a:noFill/>
                    <a:ln>
                      <a:noFill/>
                    </a:ln>
                  </pic:spPr>
                </pic:pic>
              </a:graphicData>
            </a:graphic>
          </wp:inline>
        </w:drawing>
      </w:r>
    </w:p>
    <w:p w:rsidR="00297E5E" w:rsidRPr="00297E5E" w:rsidRDefault="00297E5E" w:rsidP="00297E5E">
      <w:pPr>
        <w:spacing w:after="0" w:line="240" w:lineRule="auto"/>
        <w:jc w:val="both"/>
        <w:rPr>
          <w:rFonts w:ascii="Times New Roman" w:eastAsia="Calibri" w:hAnsi="Times New Roman" w:cs="Times New Roman"/>
          <w:b/>
          <w:bCs/>
          <w:sz w:val="24"/>
          <w:szCs w:val="24"/>
        </w:rPr>
      </w:pPr>
      <w:bookmarkStart w:id="11" w:name="_Hlk40719635"/>
      <w:r w:rsidRPr="00297E5E">
        <w:rPr>
          <w:rFonts w:ascii="Times New Roman" w:eastAsia="Calibri" w:hAnsi="Times New Roman" w:cs="Times New Roman"/>
          <w:b/>
          <w:bCs/>
          <w:sz w:val="24"/>
          <w:szCs w:val="24"/>
        </w:rPr>
        <w:t>Figure 3.6 Injectable cost per visit (2010).</w:t>
      </w:r>
    </w:p>
    <w:bookmarkEnd w:id="11"/>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b/>
          <w:bCs/>
          <w:sz w:val="28"/>
          <w:szCs w:val="28"/>
        </w:rPr>
      </w:pPr>
    </w:p>
    <w:p w:rsidR="00297E5E" w:rsidRPr="00297E5E" w:rsidRDefault="00297E5E" w:rsidP="00297E5E">
      <w:pPr>
        <w:spacing w:after="0" w:line="240" w:lineRule="auto"/>
        <w:jc w:val="both"/>
        <w:rPr>
          <w:rFonts w:ascii="Times New Roman" w:eastAsia="Calibri" w:hAnsi="Times New Roman" w:cs="Times New Roman"/>
          <w:b/>
          <w:bCs/>
          <w:sz w:val="28"/>
          <w:szCs w:val="28"/>
        </w:rPr>
      </w:pPr>
    </w:p>
    <w:p w:rsidR="00297E5E" w:rsidRPr="00297E5E" w:rsidRDefault="00297E5E" w:rsidP="00297E5E">
      <w:pPr>
        <w:spacing w:after="0" w:line="240" w:lineRule="auto"/>
        <w:jc w:val="both"/>
        <w:rPr>
          <w:rFonts w:ascii="Times New Roman" w:eastAsia="Calibri" w:hAnsi="Times New Roman" w:cs="Times New Roman"/>
          <w:b/>
          <w:bCs/>
          <w:color w:val="0070C0"/>
          <w:sz w:val="32"/>
          <w:szCs w:val="32"/>
        </w:rPr>
      </w:pPr>
      <w:r w:rsidRPr="00297E5E">
        <w:rPr>
          <w:rFonts w:ascii="Times New Roman" w:eastAsia="Calibri" w:hAnsi="Times New Roman" w:cs="Times New Roman"/>
          <w:b/>
          <w:bCs/>
          <w:color w:val="0070C0"/>
          <w:sz w:val="32"/>
          <w:szCs w:val="32"/>
        </w:rPr>
        <w:t>Case Study: The Costs of HIV Treatment, Care, and Support Services in Uganda</w:t>
      </w:r>
    </w:p>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bookmarkStart w:id="12" w:name="_Hlk40719147"/>
    </w:p>
    <w:p w:rsidR="00297E5E" w:rsidRPr="00297E5E" w:rsidRDefault="00297E5E" w:rsidP="00297E5E">
      <w:pPr>
        <w:spacing w:after="0" w:line="240" w:lineRule="auto"/>
        <w:jc w:val="both"/>
        <w:rPr>
          <w:rFonts w:ascii="Times New Roman" w:eastAsia="Calibri" w:hAnsi="Times New Roman" w:cs="Times New Roman"/>
          <w:b/>
          <w:bCs/>
          <w:color w:val="FF0000"/>
          <w:sz w:val="28"/>
          <w:szCs w:val="28"/>
        </w:rPr>
      </w:pPr>
      <w:r w:rsidRPr="00297E5E">
        <w:rPr>
          <w:rFonts w:ascii="Times New Roman" w:eastAsia="Calibri" w:hAnsi="Times New Roman" w:cs="Times New Roman"/>
          <w:b/>
          <w:bCs/>
          <w:color w:val="FF0000"/>
          <w:sz w:val="28"/>
          <w:szCs w:val="28"/>
        </w:rPr>
        <w:t>Background</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This study assessed the cost of HIV care services in public and non-public facilities </w:t>
      </w:r>
      <w:bookmarkEnd w:id="12"/>
      <w:r w:rsidRPr="00297E5E">
        <w:rPr>
          <w:rFonts w:ascii="Times New Roman" w:eastAsia="Calibri" w:hAnsi="Times New Roman" w:cs="Times New Roman"/>
          <w:sz w:val="28"/>
          <w:szCs w:val="28"/>
        </w:rPr>
        <w:t xml:space="preserve">that provide HIV care and support services in Uganda. The research gathered data from 12 sites and included adult and pediatric patients. The objectives were: </w:t>
      </w:r>
    </w:p>
    <w:p w:rsidR="00297E5E" w:rsidRPr="00297E5E" w:rsidRDefault="00297E5E" w:rsidP="00297E5E">
      <w:pPr>
        <w:numPr>
          <w:ilvl w:val="0"/>
          <w:numId w:val="1"/>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To determine the </w:t>
      </w:r>
      <w:r w:rsidRPr="00297E5E">
        <w:rPr>
          <w:rFonts w:ascii="Times New Roman" w:eastAsia="Calibri" w:hAnsi="Times New Roman" w:cs="Times New Roman"/>
          <w:b/>
          <w:bCs/>
          <w:sz w:val="28"/>
          <w:szCs w:val="28"/>
        </w:rPr>
        <w:t xml:space="preserve">average annual unit cost per patient </w:t>
      </w:r>
      <w:r w:rsidRPr="00297E5E">
        <w:rPr>
          <w:rFonts w:ascii="Times New Roman" w:eastAsia="Calibri" w:hAnsi="Times New Roman" w:cs="Times New Roman"/>
          <w:sz w:val="28"/>
          <w:szCs w:val="28"/>
        </w:rPr>
        <w:t xml:space="preserve">(adult and child) for specific HIV treatment, care, and support services. </w:t>
      </w:r>
    </w:p>
    <w:p w:rsidR="00297E5E" w:rsidRPr="00297E5E" w:rsidRDefault="00297E5E" w:rsidP="00297E5E">
      <w:pPr>
        <w:numPr>
          <w:ilvl w:val="0"/>
          <w:numId w:val="1"/>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To establish the key </w:t>
      </w:r>
      <w:r w:rsidRPr="00297E5E">
        <w:rPr>
          <w:rFonts w:ascii="Times New Roman" w:eastAsia="Calibri" w:hAnsi="Times New Roman" w:cs="Times New Roman"/>
          <w:b/>
          <w:bCs/>
          <w:sz w:val="28"/>
          <w:szCs w:val="28"/>
        </w:rPr>
        <w:t xml:space="preserve">cost components or “drivers” </w:t>
      </w:r>
      <w:r w:rsidRPr="00297E5E">
        <w:rPr>
          <w:rFonts w:ascii="Times New Roman" w:eastAsia="Calibri" w:hAnsi="Times New Roman" w:cs="Times New Roman"/>
          <w:sz w:val="28"/>
          <w:szCs w:val="28"/>
        </w:rPr>
        <w:t xml:space="preserve">of the HIV treatment, care, and support services. </w:t>
      </w:r>
    </w:p>
    <w:p w:rsidR="00297E5E" w:rsidRPr="00297E5E" w:rsidRDefault="00297E5E" w:rsidP="00297E5E">
      <w:pPr>
        <w:numPr>
          <w:ilvl w:val="0"/>
          <w:numId w:val="1"/>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To determine the </w:t>
      </w:r>
      <w:r w:rsidRPr="00297E5E">
        <w:rPr>
          <w:rFonts w:ascii="Times New Roman" w:eastAsia="Calibri" w:hAnsi="Times New Roman" w:cs="Times New Roman"/>
          <w:b/>
          <w:bCs/>
          <w:sz w:val="28"/>
          <w:szCs w:val="28"/>
        </w:rPr>
        <w:t xml:space="preserve">costs borne by patients </w:t>
      </w:r>
      <w:r w:rsidRPr="00297E5E">
        <w:rPr>
          <w:rFonts w:ascii="Times New Roman" w:eastAsia="Calibri" w:hAnsi="Times New Roman" w:cs="Times New Roman"/>
          <w:sz w:val="28"/>
          <w:szCs w:val="28"/>
        </w:rPr>
        <w:t xml:space="preserve">(“out-of-pocket costs”) that are not incurred in a clinical facility. </w:t>
      </w:r>
    </w:p>
    <w:p w:rsidR="00297E5E" w:rsidRPr="00297E5E" w:rsidRDefault="00297E5E" w:rsidP="00297E5E">
      <w:pPr>
        <w:numPr>
          <w:ilvl w:val="0"/>
          <w:numId w:val="1"/>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To </w:t>
      </w:r>
      <w:r w:rsidRPr="00297E5E">
        <w:rPr>
          <w:rFonts w:ascii="Times New Roman" w:eastAsia="Calibri" w:hAnsi="Times New Roman" w:cs="Times New Roman"/>
          <w:b/>
          <w:bCs/>
          <w:sz w:val="28"/>
          <w:szCs w:val="28"/>
        </w:rPr>
        <w:t xml:space="preserve">compare cost variations </w:t>
      </w:r>
      <w:r w:rsidRPr="00297E5E">
        <w:rPr>
          <w:rFonts w:ascii="Times New Roman" w:eastAsia="Calibri" w:hAnsi="Times New Roman" w:cs="Times New Roman"/>
          <w:sz w:val="28"/>
          <w:szCs w:val="28"/>
        </w:rPr>
        <w:t xml:space="preserve">by level of service delivery. </w:t>
      </w:r>
    </w:p>
    <w:p w:rsidR="00297E5E" w:rsidRPr="00297E5E" w:rsidRDefault="00297E5E" w:rsidP="00297E5E">
      <w:pPr>
        <w:spacing w:after="0" w:line="240" w:lineRule="auto"/>
        <w:rPr>
          <w:rFonts w:ascii="Times New Roman" w:eastAsia="Calibri" w:hAnsi="Times New Roman" w:cs="Times New Roman"/>
          <w:b/>
          <w:bCs/>
          <w:color w:val="FF0000"/>
          <w:sz w:val="28"/>
          <w:szCs w:val="28"/>
        </w:rPr>
      </w:pPr>
    </w:p>
    <w:p w:rsidR="00297E5E" w:rsidRPr="00297E5E" w:rsidRDefault="00297E5E" w:rsidP="00297E5E">
      <w:pPr>
        <w:spacing w:after="0" w:line="240" w:lineRule="auto"/>
        <w:rPr>
          <w:rFonts w:ascii="Times New Roman" w:eastAsia="Calibri" w:hAnsi="Times New Roman" w:cs="Times New Roman"/>
          <w:b/>
          <w:bCs/>
          <w:color w:val="FF0000"/>
          <w:sz w:val="28"/>
          <w:szCs w:val="28"/>
        </w:rPr>
      </w:pPr>
      <w:r w:rsidRPr="00297E5E">
        <w:rPr>
          <w:rFonts w:ascii="Times New Roman" w:eastAsia="Calibri" w:hAnsi="Times New Roman" w:cs="Times New Roman"/>
          <w:b/>
          <w:bCs/>
          <w:color w:val="FF0000"/>
          <w:sz w:val="28"/>
          <w:szCs w:val="28"/>
        </w:rPr>
        <w:t>Methods</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The data collected were used to estimate the per-patient costs for both ART and non-ART patients. Patient-level information was gathered on </w:t>
      </w:r>
      <w:r w:rsidRPr="00297E5E">
        <w:rPr>
          <w:rFonts w:ascii="Times New Roman" w:eastAsia="Calibri" w:hAnsi="Times New Roman" w:cs="Times New Roman"/>
          <w:sz w:val="28"/>
          <w:szCs w:val="28"/>
        </w:rPr>
        <w:lastRenderedPageBreak/>
        <w:t xml:space="preserve">services received, physical functionality, socioeconomic background characteristics, and costs incurred by patients when receiving care.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A purposive sample of 12 of Uganda’s accredited ART centers was chosen to reflect key characteristics thought to influence unit cost, including: level of service delivery; major implementing partner; type of ownership; and geographic location. The main sampling criterion was level of service delivery, with the final sample proportionally selected to represent the five service delivery levels in the country.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The study aimed to conduct 600 patient interviews (an average of 50 per site) with adults, and 200 (an average of approximately 16 per site) with children (or their caregivers.) The numbers constituting each sample were determined to ensure a reasonable representation of the site populations and to facilitate any required subgroup analysis.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     Data were collected at the facility level on major cost elements, such as staffing, patient load, and services provided. The study captured both financial and economic costs.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Direct costs collected were: </w:t>
      </w:r>
    </w:p>
    <w:p w:rsidR="00297E5E" w:rsidRPr="00297E5E" w:rsidRDefault="00297E5E" w:rsidP="00297E5E">
      <w:pPr>
        <w:numPr>
          <w:ilvl w:val="0"/>
          <w:numId w:val="2"/>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Staff time in caring for clients </w:t>
      </w:r>
    </w:p>
    <w:p w:rsidR="00297E5E" w:rsidRPr="00297E5E" w:rsidRDefault="00297E5E" w:rsidP="00297E5E">
      <w:pPr>
        <w:numPr>
          <w:ilvl w:val="0"/>
          <w:numId w:val="2"/>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Commodities, including drugs to prevent and treat opportunistic infections; </w:t>
      </w:r>
      <w:proofErr w:type="spellStart"/>
      <w:r w:rsidRPr="00297E5E">
        <w:rPr>
          <w:rFonts w:ascii="Times New Roman" w:eastAsia="Calibri" w:hAnsi="Times New Roman" w:cs="Times New Roman"/>
          <w:sz w:val="28"/>
          <w:szCs w:val="28"/>
        </w:rPr>
        <w:t>antiretrovirals</w:t>
      </w:r>
      <w:proofErr w:type="spellEnd"/>
      <w:r w:rsidRPr="00297E5E">
        <w:rPr>
          <w:rFonts w:ascii="Times New Roman" w:eastAsia="Calibri" w:hAnsi="Times New Roman" w:cs="Times New Roman"/>
          <w:sz w:val="28"/>
          <w:szCs w:val="28"/>
        </w:rPr>
        <w:t xml:space="preserve"> (ARVs); and medical consumables and supplies used for clinic visits and for laboratory testing </w:t>
      </w:r>
    </w:p>
    <w:p w:rsidR="00297E5E" w:rsidRPr="00297E5E" w:rsidRDefault="00297E5E" w:rsidP="00297E5E">
      <w:pPr>
        <w:numPr>
          <w:ilvl w:val="0"/>
          <w:numId w:val="2"/>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Capital expenditures for medical equipment; vehicles used directly for client care; and physical infrastructure used for client care </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Indirect cost data collected at the facility were: </w:t>
      </w:r>
    </w:p>
    <w:p w:rsidR="00297E5E" w:rsidRPr="00297E5E" w:rsidRDefault="00297E5E" w:rsidP="00297E5E">
      <w:pPr>
        <w:numPr>
          <w:ilvl w:val="0"/>
          <w:numId w:val="3"/>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Labor cost of administrative staff </w:t>
      </w:r>
    </w:p>
    <w:p w:rsidR="00297E5E" w:rsidRPr="00297E5E" w:rsidRDefault="00297E5E" w:rsidP="00297E5E">
      <w:pPr>
        <w:numPr>
          <w:ilvl w:val="0"/>
          <w:numId w:val="3"/>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Overhead expenses (e.g., office supplies, travel expenses, communication), and equipment and building use generically at a facility </w:t>
      </w:r>
    </w:p>
    <w:p w:rsidR="00297E5E" w:rsidRPr="00297E5E" w:rsidRDefault="00297E5E" w:rsidP="00297E5E">
      <w:pPr>
        <w:numPr>
          <w:ilvl w:val="0"/>
          <w:numId w:val="3"/>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Depreciation of equipment and assets (e.g., equipment and furniture in the clinical and diagnostic units) </w:t>
      </w:r>
    </w:p>
    <w:p w:rsidR="00297E5E" w:rsidRPr="00297E5E" w:rsidRDefault="00297E5E" w:rsidP="00297E5E">
      <w:pPr>
        <w:numPr>
          <w:ilvl w:val="0"/>
          <w:numId w:val="3"/>
        </w:numPr>
        <w:spacing w:after="0" w:line="240" w:lineRule="auto"/>
        <w:contextualSpacing/>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Costs to program clients (e.g., client time, transport, meals, out-of-pocket payments, user fees for services or drugs) and waiting time at the facility (to assess lost work time) </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rPr>
          <w:rFonts w:ascii="Times New Roman" w:eastAsia="Calibri" w:hAnsi="Times New Roman" w:cs="Times New Roman"/>
          <w:b/>
          <w:bCs/>
          <w:color w:val="FF0000"/>
          <w:sz w:val="28"/>
          <w:szCs w:val="28"/>
        </w:rPr>
      </w:pPr>
      <w:r w:rsidRPr="00297E5E">
        <w:rPr>
          <w:rFonts w:ascii="Times New Roman" w:eastAsia="Calibri" w:hAnsi="Times New Roman" w:cs="Times New Roman"/>
          <w:b/>
          <w:bCs/>
          <w:color w:val="FF0000"/>
          <w:sz w:val="28"/>
          <w:szCs w:val="28"/>
        </w:rPr>
        <w:t>Findings</w:t>
      </w: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 xml:space="preserve">Results showed that the annual facility-level cost of providing HIV treatment, care, and support to adult HIV patients ranged from Ugandan shillings (UGX) 254,000 to UGX 824,000 ($116.28 to $376.20) across the 12 sites, with a median cost of UGX 567,000 ($258.78). When restricted to adults on ART, annualized costs ranged from UGX 403,000 to UGX 1,330,000 ($183.54 to $606.48), with a median of UGX 734,000 ($335.16). For child HIV patients, the study found that costs ranged from </w:t>
      </w:r>
      <w:r w:rsidRPr="00297E5E">
        <w:rPr>
          <w:rFonts w:ascii="Times New Roman" w:eastAsia="Calibri" w:hAnsi="Times New Roman" w:cs="Times New Roman"/>
          <w:sz w:val="28"/>
          <w:szCs w:val="28"/>
        </w:rPr>
        <w:lastRenderedPageBreak/>
        <w:t>UGX 190,000 to UGX 1,869,000 ($86.64 to $852.72), with a median cost of UGX 630,000 ($287.28).</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rPr>
          <w:rFonts w:ascii="Times New Roman" w:eastAsia="Calibri" w:hAnsi="Times New Roman" w:cs="Times New Roman"/>
          <w:sz w:val="28"/>
          <w:szCs w:val="28"/>
        </w:rPr>
      </w:pPr>
      <w:r w:rsidRPr="00297E5E">
        <w:rPr>
          <w:rFonts w:ascii="Calibri" w:eastAsia="Calibri" w:hAnsi="Calibri" w:cs="Arial"/>
          <w:noProof/>
        </w:rPr>
        <w:drawing>
          <wp:inline distT="0" distB="0" distL="0" distR="0" wp14:anchorId="7A330E62" wp14:editId="13BBBB78">
            <wp:extent cx="3851901" cy="329711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6759" cy="3429669"/>
                    </a:xfrm>
                    <a:prstGeom prst="rect">
                      <a:avLst/>
                    </a:prstGeom>
                    <a:noFill/>
                    <a:ln>
                      <a:noFill/>
                    </a:ln>
                  </pic:spPr>
                </pic:pic>
              </a:graphicData>
            </a:graphic>
          </wp:inline>
        </w:drawing>
      </w:r>
    </w:p>
    <w:p w:rsidR="00297E5E" w:rsidRPr="00297E5E" w:rsidRDefault="00297E5E" w:rsidP="00297E5E">
      <w:pPr>
        <w:spacing w:after="0"/>
        <w:rPr>
          <w:rFonts w:ascii="Times New Roman" w:eastAsia="Calibri" w:hAnsi="Times New Roman" w:cs="Times New Roman"/>
          <w:b/>
          <w:bCs/>
          <w:sz w:val="24"/>
          <w:szCs w:val="24"/>
        </w:rPr>
      </w:pPr>
      <w:r w:rsidRPr="00297E5E">
        <w:rPr>
          <w:rFonts w:ascii="Times New Roman" w:eastAsia="Calibri" w:hAnsi="Times New Roman" w:cs="Times New Roman"/>
          <w:b/>
          <w:bCs/>
          <w:sz w:val="24"/>
          <w:szCs w:val="24"/>
        </w:rPr>
        <w:t>Figure 3.7 Distribution of cost elements, adults, 12 sites.</w:t>
      </w:r>
    </w:p>
    <w:p w:rsidR="00297E5E" w:rsidRPr="00297E5E" w:rsidRDefault="00297E5E" w:rsidP="00297E5E">
      <w:pPr>
        <w:spacing w:after="0" w:line="240" w:lineRule="auto"/>
        <w:jc w:val="both"/>
        <w:rPr>
          <w:rFonts w:ascii="Times New Roman" w:eastAsia="Calibri" w:hAnsi="Times New Roman" w:cs="Times New Roman"/>
          <w:sz w:val="28"/>
          <w:szCs w:val="28"/>
        </w:rPr>
      </w:pPr>
    </w:p>
    <w:p w:rsidR="00297E5E" w:rsidRPr="00297E5E" w:rsidRDefault="00297E5E" w:rsidP="00297E5E">
      <w:pPr>
        <w:spacing w:after="0" w:line="240" w:lineRule="auto"/>
        <w:jc w:val="both"/>
        <w:rPr>
          <w:rFonts w:ascii="Times New Roman" w:eastAsia="Calibri" w:hAnsi="Times New Roman" w:cs="Times New Roman"/>
          <w:sz w:val="28"/>
          <w:szCs w:val="28"/>
        </w:rPr>
      </w:pPr>
      <w:r w:rsidRPr="00297E5E">
        <w:rPr>
          <w:rFonts w:ascii="Times New Roman" w:eastAsia="Calibri" w:hAnsi="Times New Roman" w:cs="Times New Roman"/>
          <w:sz w:val="28"/>
          <w:szCs w:val="28"/>
        </w:rPr>
        <w:t>The main cost drivers for both adults and children were ARVs and laboratory tests (Figure 3.7). Among all adults, ARVs accounted for 51 percent of costs, and for children, ARVs accounted for 69 percent. For laboratory services, the percentages were 21 percent and 16 percent, respectively. First-line drugs accounted for the largest share of ARVs. The study also found that among the facilities contacted, public hospitals had a higher cost per adult patient than did non-public, not-for-profit hospitals, but only by approximately 12 percent (UGX 655,018 versus UGX 582,894.) Public hospitals had lower staff costs per patient whereas laboratory costs were higher. By contrast, PHCs had much lower per-patient costs than non-PHCs for adults (UGX 335,625 versus UGX 512,073.) The major factor here was much cheaper staff costs in PHCs (UGX 28,850 versus UGX 168,845.) Similar patterns were found for children.</w:t>
      </w:r>
    </w:p>
    <w:p w:rsidR="00297E5E" w:rsidRPr="00297E5E" w:rsidRDefault="00297E5E" w:rsidP="00297E5E">
      <w:pPr>
        <w:rPr>
          <w:rFonts w:ascii="Times New Roman" w:eastAsia="Calibri" w:hAnsi="Times New Roman" w:cs="Times New Roman"/>
          <w:sz w:val="28"/>
          <w:szCs w:val="28"/>
        </w:rPr>
      </w:pPr>
    </w:p>
    <w:p w:rsidR="00511D32" w:rsidRDefault="00297E5E">
      <w:bookmarkStart w:id="13" w:name="_GoBack"/>
      <w:bookmarkEnd w:id="13"/>
    </w:p>
    <w:sectPr w:rsidR="00511D32"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58A"/>
    <w:multiLevelType w:val="hybridMultilevel"/>
    <w:tmpl w:val="54D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36782"/>
    <w:multiLevelType w:val="hybridMultilevel"/>
    <w:tmpl w:val="5E6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5403A"/>
    <w:multiLevelType w:val="hybridMultilevel"/>
    <w:tmpl w:val="512C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01"/>
    <w:rsid w:val="00297E5E"/>
    <w:rsid w:val="007C6800"/>
    <w:rsid w:val="00C9494F"/>
    <w:rsid w:val="00D83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7E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7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7E5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7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8603</Characters>
  <Application>Microsoft Office Word</Application>
  <DocSecurity>0</DocSecurity>
  <Lines>71</Lines>
  <Paragraphs>20</Paragraphs>
  <ScaleCrop>false</ScaleCrop>
  <Company>SACC</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2024-05-22T11:08:00Z</dcterms:created>
  <dcterms:modified xsi:type="dcterms:W3CDTF">2024-05-22T11:09:00Z</dcterms:modified>
</cp:coreProperties>
</file>