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51" w:rsidRDefault="00DE6761" w:rsidP="00DE676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33F51">
        <w:rPr>
          <w:rFonts w:asciiTheme="majorBidi" w:hAnsiTheme="majorBidi" w:cstheme="majorBidi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2D503CEE" wp14:editId="7A3E504C">
            <wp:simplePos x="0" y="0"/>
            <wp:positionH relativeFrom="column">
              <wp:posOffset>3144520</wp:posOffset>
            </wp:positionH>
            <wp:positionV relativeFrom="page">
              <wp:posOffset>792480</wp:posOffset>
            </wp:positionV>
            <wp:extent cx="2933700" cy="4259580"/>
            <wp:effectExtent l="190500" t="171450" r="190500" b="179070"/>
            <wp:wrapTopAndBottom/>
            <wp:docPr id="1" name="صورة 1" descr="جامعة المستقبل‏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امعة المستقبل‏ | فيسبو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595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E6761">
        <w:rPr>
          <w:rFonts w:asciiTheme="majorBidi" w:hAnsiTheme="majorBidi" w:cstheme="majorBidi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483313CE" wp14:editId="6A8B9AF4">
            <wp:simplePos x="0" y="0"/>
            <wp:positionH relativeFrom="margin">
              <wp:align>left</wp:align>
            </wp:positionH>
            <wp:positionV relativeFrom="page">
              <wp:posOffset>1097280</wp:posOffset>
            </wp:positionV>
            <wp:extent cx="3040380" cy="3900805"/>
            <wp:effectExtent l="0" t="0" r="7620" b="4445"/>
            <wp:wrapTopAndBottom/>
            <wp:docPr id="2" name="صورة 2" descr="me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College of Health and Medical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Department of Radiology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Radiobiology</w:t>
      </w:r>
    </w:p>
    <w:p w:rsid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The first stage</w:t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Dr.</w:t>
      </w:r>
      <w:r w:rsidR="00DE676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Arshed AL-kafagi</w:t>
      </w:r>
    </w:p>
    <w:p w:rsidR="00533F51" w:rsidRPr="007A659C" w:rsidRDefault="007A659C" w:rsidP="007A659C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7A659C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Tumor response to radiation</w:t>
      </w: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D4688" w:rsidRDefault="00DD4688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D4688" w:rsidRDefault="007A659C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Lecture No.9</w:t>
      </w:r>
    </w:p>
    <w:p w:rsidR="007A659C" w:rsidRDefault="007A659C" w:rsidP="007A659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NewRomanRegular" w:hAnsiTheme="majorBidi" w:cstheme="majorBidi"/>
          <w:sz w:val="28"/>
          <w:szCs w:val="28"/>
          <w:lang w:bidi="fa-IR"/>
        </w:rPr>
      </w:pP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The aim of radiotherapy is to annihilate the tumor tissue while minimizing damage to 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the 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>normal surrounding tissues. Thus, the radio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>-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>sensitivities o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f the tumor and its surrounding 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>tissues are important considerations when determining the b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est treatment. </w:t>
      </w:r>
    </w:p>
    <w:p w:rsidR="007A659C" w:rsidRPr="007A659C" w:rsidRDefault="007A659C" w:rsidP="007A659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NewRomanRegular" w:hAnsiTheme="majorBidi" w:cstheme="majorBidi"/>
          <w:sz w:val="28"/>
          <w:szCs w:val="28"/>
          <w:lang w:bidi="fa-IR"/>
        </w:rPr>
      </w:pP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It is well known 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>that cells in tumor tissues have chaotic growth patterns and various radio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>-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>sensitivities.</w:t>
      </w:r>
    </w:p>
    <w:p w:rsidR="007A659C" w:rsidRDefault="007A659C" w:rsidP="007A659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NewRomanRegular" w:hAnsiTheme="majorBidi" w:cstheme="majorBidi"/>
          <w:sz w:val="28"/>
          <w:szCs w:val="28"/>
          <w:lang w:bidi="fa-IR"/>
        </w:rPr>
      </w:pP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>Furthermore, tumor cells exhibit a variety of size, chromos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ome structures, and </w:t>
      </w:r>
      <w:proofErr w:type="spellStart"/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>cytoplasms</w:t>
      </w:r>
      <w:proofErr w:type="spellEnd"/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. 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However, this is not true of neighboring normal tissue cells. </w:t>
      </w:r>
    </w:p>
    <w:p w:rsidR="00E72973" w:rsidRDefault="00E72973" w:rsidP="007A659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NewRomanRegular" w:hAnsiTheme="majorBidi" w:cstheme="majorBidi"/>
          <w:sz w:val="28"/>
          <w:szCs w:val="28"/>
          <w:lang w:bidi="fa-IR"/>
        </w:rPr>
      </w:pPr>
    </w:p>
    <w:p w:rsidR="00DD4688" w:rsidRPr="007A659C" w:rsidRDefault="007A659C" w:rsidP="00E7297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NewRomanRegular" w:hAnsiTheme="majorBidi" w:cstheme="majorBidi"/>
          <w:sz w:val="28"/>
          <w:szCs w:val="28"/>
          <w:lang w:bidi="fa-IR"/>
        </w:rPr>
      </w:pP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The principle of </w:t>
      </w:r>
      <w:proofErr w:type="spellStart"/>
      <w:r w:rsidRPr="007A659C">
        <w:rPr>
          <w:rFonts w:asciiTheme="majorBidi" w:eastAsia="TimesNewRomanItalic" w:hAnsiTheme="majorBidi" w:cstheme="majorBidi"/>
          <w:i/>
          <w:iCs/>
          <w:sz w:val="28"/>
          <w:szCs w:val="28"/>
          <w:lang w:bidi="fa-IR"/>
        </w:rPr>
        <w:t>primum</w:t>
      </w:r>
      <w:proofErr w:type="spellEnd"/>
      <w:r w:rsidRPr="007A659C">
        <w:rPr>
          <w:rFonts w:asciiTheme="majorBidi" w:eastAsia="TimesNewRomanItalic" w:hAnsiTheme="majorBidi" w:cstheme="majorBidi"/>
          <w:i/>
          <w:iCs/>
          <w:sz w:val="28"/>
          <w:szCs w:val="28"/>
          <w:lang w:bidi="fa-IR"/>
        </w:rPr>
        <w:t xml:space="preserve"> non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7A659C">
        <w:rPr>
          <w:rFonts w:asciiTheme="majorBidi" w:eastAsia="TimesNewRomanItalic" w:hAnsiTheme="majorBidi" w:cstheme="majorBidi"/>
          <w:i/>
          <w:iCs/>
          <w:sz w:val="28"/>
          <w:szCs w:val="28"/>
          <w:lang w:bidi="fa-IR"/>
        </w:rPr>
        <w:t>nocere</w:t>
      </w:r>
      <w:proofErr w:type="spellEnd"/>
      <w:r w:rsidRPr="007A659C">
        <w:rPr>
          <w:rFonts w:asciiTheme="majorBidi" w:eastAsia="TimesNewRomanItalic" w:hAnsiTheme="majorBidi" w:cstheme="majorBidi"/>
          <w:i/>
          <w:iCs/>
          <w:sz w:val="28"/>
          <w:szCs w:val="28"/>
          <w:lang w:bidi="fa-IR"/>
        </w:rPr>
        <w:t xml:space="preserve"> 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is always valid in radiotherapy. In light of this principle, 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several concepts for destroying 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>the tumor while protecting healthy tissues have been deve</w:t>
      </w:r>
      <w:r>
        <w:rPr>
          <w:rFonts w:asciiTheme="majorBidi" w:eastAsia="TimesNewRomanRegular" w:hAnsiTheme="majorBidi" w:cstheme="majorBidi"/>
          <w:sz w:val="28"/>
          <w:szCs w:val="28"/>
          <w:lang w:bidi="fa-IR"/>
        </w:rPr>
        <w:t xml:space="preserve">loped in the field of radiation </w:t>
      </w:r>
      <w:r w:rsidRPr="007A659C">
        <w:rPr>
          <w:rFonts w:asciiTheme="majorBidi" w:eastAsia="TimesNewRomanRegular" w:hAnsiTheme="majorBidi" w:cstheme="majorBidi"/>
          <w:sz w:val="28"/>
          <w:szCs w:val="28"/>
          <w:lang w:bidi="fa-IR"/>
        </w:rPr>
        <w:t>oncology.</w:t>
      </w:r>
    </w:p>
    <w:p w:rsidR="00E72973" w:rsidRPr="00E72973" w:rsidRDefault="007A659C" w:rsidP="007A659C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The therapeutic index </w:t>
      </w:r>
    </w:p>
    <w:p w:rsidR="00E72973" w:rsidRDefault="007A659C" w:rsidP="00E72973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A659C">
        <w:rPr>
          <w:rFonts w:ascii="Times New Roman" w:hAnsi="Times New Roman" w:cs="Times New Roman"/>
          <w:sz w:val="28"/>
          <w:szCs w:val="28"/>
          <w:lang w:bidi="ar-IQ"/>
        </w:rPr>
        <w:t>defines how the tumor control probability (TCP) relates to the normal</w:t>
      </w:r>
      <w:r w:rsidR="00E7297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7A659C">
        <w:rPr>
          <w:rFonts w:ascii="Times New Roman" w:hAnsi="Times New Roman" w:cs="Times New Roman"/>
          <w:sz w:val="28"/>
          <w:szCs w:val="28"/>
          <w:lang w:bidi="ar-IQ"/>
        </w:rPr>
        <w:t>tissue complication probabil</w:t>
      </w:r>
      <w:r w:rsidR="00E72973">
        <w:rPr>
          <w:rFonts w:ascii="Times New Roman" w:hAnsi="Times New Roman" w:cs="Times New Roman"/>
          <w:sz w:val="28"/>
          <w:szCs w:val="28"/>
          <w:lang w:bidi="ar-IQ"/>
        </w:rPr>
        <w:t>ity (NTCP) for different doses.</w:t>
      </w:r>
      <w:r w:rsidRPr="007A659C">
        <w:rPr>
          <w:rFonts w:ascii="Times New Roman" w:hAnsi="Times New Roman" w:cs="Times New Roman"/>
          <w:sz w:val="28"/>
          <w:szCs w:val="28"/>
          <w:lang w:bidi="ar-IQ"/>
        </w:rPr>
        <w:t xml:space="preserve"> Normal tissues may</w:t>
      </w:r>
      <w:r w:rsidR="00E7297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7A659C">
        <w:rPr>
          <w:rFonts w:ascii="Times New Roman" w:hAnsi="Times New Roman" w:cs="Times New Roman"/>
          <w:sz w:val="28"/>
          <w:szCs w:val="28"/>
          <w:lang w:bidi="ar-IQ"/>
        </w:rPr>
        <w:t>get damaged by the dose required to control the tumor; on the other hand, the tumor may</w:t>
      </w:r>
      <w:r w:rsidR="00E7297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7A659C">
        <w:rPr>
          <w:rFonts w:ascii="Times New Roman" w:hAnsi="Times New Roman" w:cs="Times New Roman"/>
          <w:sz w:val="28"/>
          <w:szCs w:val="28"/>
          <w:lang w:bidi="ar-IQ"/>
        </w:rPr>
        <w:t xml:space="preserve">not receive an adequate dose if the normal tissues require protection. </w:t>
      </w:r>
    </w:p>
    <w:p w:rsidR="00E72973" w:rsidRDefault="007A659C" w:rsidP="00E72973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A659C">
        <w:rPr>
          <w:rFonts w:ascii="Times New Roman" w:hAnsi="Times New Roman" w:cs="Times New Roman"/>
          <w:sz w:val="28"/>
          <w:szCs w:val="28"/>
          <w:lang w:bidi="ar-IQ"/>
        </w:rPr>
        <w:t>Achieving the optimal</w:t>
      </w:r>
      <w:r w:rsidR="00E7297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7A659C">
        <w:rPr>
          <w:rFonts w:ascii="Times New Roman" w:hAnsi="Times New Roman" w:cs="Times New Roman"/>
          <w:sz w:val="28"/>
          <w:szCs w:val="28"/>
          <w:lang w:bidi="ar-IQ"/>
        </w:rPr>
        <w:t>balance between</w:t>
      </w:r>
      <w:r w:rsidR="00E72973">
        <w:rPr>
          <w:rFonts w:ascii="Times New Roman" w:hAnsi="Times New Roman" w:cs="Times New Roman"/>
          <w:sz w:val="28"/>
          <w:szCs w:val="28"/>
          <w:lang w:bidi="ar-IQ"/>
        </w:rPr>
        <w:t xml:space="preserve"> TCP and NTCP is a basic aim of </w:t>
      </w:r>
      <w:r w:rsidRPr="007A659C">
        <w:rPr>
          <w:rFonts w:ascii="Times New Roman" w:hAnsi="Times New Roman" w:cs="Times New Roman"/>
          <w:sz w:val="28"/>
          <w:szCs w:val="28"/>
          <w:lang w:bidi="ar-IQ"/>
        </w:rPr>
        <w:t>radiotherapy. All new technologies</w:t>
      </w:r>
      <w:r w:rsidR="00E7297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7A659C">
        <w:rPr>
          <w:rFonts w:ascii="Times New Roman" w:hAnsi="Times New Roman" w:cs="Times New Roman"/>
          <w:sz w:val="28"/>
          <w:szCs w:val="28"/>
          <w:lang w:bidi="ar-IQ"/>
        </w:rPr>
        <w:t>are directed towards this aim.</w:t>
      </w:r>
    </w:p>
    <w:p w:rsidR="008F3A56" w:rsidRDefault="00E72973" w:rsidP="00E72973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The therapeutic index (= therapeutic window) increases if the region the between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two curves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>become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 large, and the expected benefit from treatment increases.</w:t>
      </w:r>
    </w:p>
    <w:p w:rsidR="00E72973" w:rsidRDefault="00E72973" w:rsidP="00E72973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When the fraction dose is increased from 2 to 2.5 </w:t>
      </w:r>
      <w:proofErr w:type="spellStart"/>
      <w:r w:rsidRPr="00E72973">
        <w:rPr>
          <w:rFonts w:ascii="Times New Roman" w:hAnsi="Times New Roman" w:cs="Times New Roman"/>
          <w:sz w:val="28"/>
          <w:szCs w:val="28"/>
          <w:lang w:bidi="ar-IQ"/>
        </w:rPr>
        <w:t>Gy</w:t>
      </w:r>
      <w:proofErr w:type="spellEnd"/>
      <w:r w:rsidRPr="00E72973">
        <w:rPr>
          <w:rFonts w:ascii="Times New Roman" w:hAnsi="Times New Roman" w:cs="Times New Roman"/>
          <w:sz w:val="28"/>
          <w:szCs w:val="28"/>
          <w:lang w:bidi="ar-IQ"/>
        </w:rPr>
        <w:t>, the total dose to control the tumor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>decreases. Since the maximum tolerable dose is constant, the total dose received by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normal tissue increases and the therapeutic window narrows.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E72973" w:rsidRPr="00E72973" w:rsidRDefault="00E72973" w:rsidP="00E72973">
      <w:pPr>
        <w:bidi w:val="0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Tumor Control Probability (TCP)</w:t>
      </w:r>
    </w:p>
    <w:p w:rsidR="00E72973" w:rsidRDefault="00E72973" w:rsidP="00E72973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The efficacy of radiotherapy treatment is evaluated by the </w:t>
      </w:r>
      <w:proofErr w:type="spellStart"/>
      <w:r w:rsidRPr="00E72973">
        <w:rPr>
          <w:rFonts w:ascii="Times New Roman" w:hAnsi="Times New Roman" w:cs="Times New Roman"/>
          <w:sz w:val="28"/>
          <w:szCs w:val="28"/>
          <w:lang w:bidi="ar-IQ"/>
        </w:rPr>
        <w:t>locoregional</w:t>
      </w:r>
      <w:proofErr w:type="spellEnd"/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 TCP and the treatment-related NTCP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E72973" w:rsidRPr="00E72973" w:rsidRDefault="00E72973" w:rsidP="00E72973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lastRenderedPageBreak/>
        <w:t>TCP is directly proportional to the dose and inversely proportional to the number of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>cells in the tissue (or the volume of the tumor). The total dose required to control the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subclinical disease in epithelial cancers is 40–50 </w:t>
      </w:r>
      <w:proofErr w:type="spellStart"/>
      <w:r w:rsidRPr="00E72973">
        <w:rPr>
          <w:rFonts w:ascii="Times New Roman" w:hAnsi="Times New Roman" w:cs="Times New Roman"/>
          <w:sz w:val="28"/>
          <w:szCs w:val="28"/>
          <w:lang w:bidi="ar-IQ"/>
        </w:rPr>
        <w:t>Gy</w:t>
      </w:r>
      <w:proofErr w:type="spellEnd"/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, whereas it is 60–70 </w:t>
      </w:r>
      <w:proofErr w:type="spellStart"/>
      <w:r w:rsidRPr="00E72973">
        <w:rPr>
          <w:rFonts w:ascii="Times New Roman" w:hAnsi="Times New Roman" w:cs="Times New Roman"/>
          <w:sz w:val="28"/>
          <w:szCs w:val="28"/>
          <w:lang w:bidi="ar-IQ"/>
        </w:rPr>
        <w:t>Gy</w:t>
      </w:r>
      <w:proofErr w:type="spellEnd"/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 for clinically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>observable gross disease. The most important dose-limiting factor is the tolerance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>of the surrounding tissues to radiation.</w:t>
      </w:r>
    </w:p>
    <w:p w:rsidR="00E72973" w:rsidRPr="00E72973" w:rsidRDefault="00E72973" w:rsidP="00E72973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Local tumor control. This is the destruction of tumor cells, where they are determined.</w:t>
      </w:r>
    </w:p>
    <w:p w:rsidR="00E72973" w:rsidRPr="00E72973" w:rsidRDefault="00E72973" w:rsidP="00E72973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It is also defined as the death of the last clonogenic cancer cell.</w:t>
      </w:r>
    </w:p>
    <w:p w:rsidR="00E72973" w:rsidRPr="00E72973" w:rsidRDefault="00E72973" w:rsidP="00E72973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Radiation affects tumor cells in a very similar way to normal tissue and organs; its</w:t>
      </w:r>
    </w:p>
    <w:p w:rsidR="00E72973" w:rsidRPr="00E72973" w:rsidRDefault="00E72973" w:rsidP="00E72973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effect is nonspecific.</w:t>
      </w:r>
    </w:p>
    <w:p w:rsidR="00E72973" w:rsidRPr="00E72973" w:rsidRDefault="00E72973" w:rsidP="00E72973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proofErr w:type="spellStart"/>
      <w:r w:rsidRPr="00E72973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Tumoral</w:t>
      </w:r>
      <w:proofErr w:type="spellEnd"/>
      <w:r w:rsidRPr="00E72973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 factors affecting the TCP: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Intrinsic </w:t>
      </w:r>
      <w:proofErr w:type="spellStart"/>
      <w:r w:rsidRPr="00E72973">
        <w:rPr>
          <w:rFonts w:ascii="Times New Roman" w:hAnsi="Times New Roman" w:cs="Times New Roman"/>
          <w:sz w:val="28"/>
          <w:szCs w:val="28"/>
          <w:lang w:bidi="ar-IQ"/>
        </w:rPr>
        <w:t>radiosensitivity</w:t>
      </w:r>
      <w:proofErr w:type="spellEnd"/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Location and size of tumor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Cellular type of tumor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Effect of oxygen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Treatment-related factors affecting the TCP: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Dose–time fractionation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Radiation quality (RBE, LET)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Dose rate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Use of </w:t>
      </w:r>
      <w:proofErr w:type="spellStart"/>
      <w:r w:rsidRPr="00E72973">
        <w:rPr>
          <w:rFonts w:ascii="Times New Roman" w:hAnsi="Times New Roman" w:cs="Times New Roman"/>
          <w:sz w:val="28"/>
          <w:szCs w:val="28"/>
          <w:lang w:bidi="ar-IQ"/>
        </w:rPr>
        <w:t>radiosensitizers</w:t>
      </w:r>
      <w:proofErr w:type="spellEnd"/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Combination of radiotherapy with surgery and/or chemotherapy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Technique (e.g., small field sizes)</w:t>
      </w:r>
    </w:p>
    <w:p w:rsidR="00E72973" w:rsidRPr="00E72973" w:rsidRDefault="00E72973" w:rsidP="00E72973">
      <w:pPr>
        <w:pStyle w:val="a3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Treatment modality (e.g., brachytherapy, conformal RT, IMRT, IGRT, targeted RT</w:t>
      </w:r>
    </w:p>
    <w:p w:rsidR="00E72973" w:rsidRDefault="00E72973" w:rsidP="00E72973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The dose needs to be increased threefold to increase the TCP from 10 to 90%.</w:t>
      </w:r>
    </w:p>
    <w:p w:rsidR="00E72973" w:rsidRPr="00E72973" w:rsidRDefault="00E72973" w:rsidP="00E72973">
      <w:pPr>
        <w:bidi w:val="0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Normal Tissue Complication Probability (NTCP)</w:t>
      </w:r>
    </w:p>
    <w:p w:rsidR="007B532C" w:rsidRDefault="00E72973" w:rsidP="00E72973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E72973">
        <w:rPr>
          <w:rFonts w:ascii="Times New Roman" w:hAnsi="Times New Roman" w:cs="Times New Roman"/>
          <w:sz w:val="28"/>
          <w:szCs w:val="28"/>
          <w:lang w:bidi="ar-IQ"/>
        </w:rPr>
        <w:t>The TCP is a function of the total dose, fraction dose, irradiated volume including the whole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>tumor,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and treatment </w:t>
      </w: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 xml:space="preserve">reproducibility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>.</w:t>
      </w:r>
      <w:proofErr w:type="gramEnd"/>
      <w:r w:rsidRPr="00E72973">
        <w:rPr>
          <w:rFonts w:ascii="Times New Roman" w:hAnsi="Times New Roman" w:cs="Times New Roman"/>
          <w:sz w:val="28"/>
          <w:szCs w:val="28"/>
          <w:lang w:bidi="ar-IQ"/>
        </w:rPr>
        <w:t xml:space="preserve"> The NTCP is a function of the total dose,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72973">
        <w:rPr>
          <w:rFonts w:ascii="Times New Roman" w:hAnsi="Times New Roman" w:cs="Times New Roman"/>
          <w:sz w:val="28"/>
          <w:szCs w:val="28"/>
          <w:lang w:bidi="ar-IQ"/>
        </w:rPr>
        <w:t>fraction dose, fraction number and the volume of t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issue exposed to the </w:t>
      </w:r>
      <w:r w:rsidR="007B532C">
        <w:rPr>
          <w:rFonts w:ascii="Times New Roman" w:hAnsi="Times New Roman" w:cs="Times New Roman"/>
          <w:sz w:val="28"/>
          <w:szCs w:val="28"/>
          <w:lang w:bidi="ar-IQ"/>
        </w:rPr>
        <w:t>radiation.</w:t>
      </w:r>
    </w:p>
    <w:p w:rsidR="007B532C" w:rsidRPr="007B532C" w:rsidRDefault="007B532C" w:rsidP="007B532C">
      <w:pPr>
        <w:bidi w:val="0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Factors affecting </w:t>
      </w:r>
      <w:proofErr w:type="gramStart"/>
      <w:r w:rsidRPr="007B532C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NTCP :</w:t>
      </w:r>
      <w:proofErr w:type="gramEnd"/>
    </w:p>
    <w:p w:rsidR="007B532C" w:rsidRPr="007B532C" w:rsidRDefault="007B532C" w:rsidP="007B532C">
      <w:pPr>
        <w:pStyle w:val="a3"/>
        <w:numPr>
          <w:ilvl w:val="0"/>
          <w:numId w:val="9"/>
        </w:num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b/>
          <w:bCs/>
          <w:sz w:val="28"/>
          <w:szCs w:val="28"/>
          <w:lang w:bidi="ar-IQ"/>
        </w:rPr>
        <w:t>Factors related to organ tissue</w:t>
      </w:r>
    </w:p>
    <w:p w:rsidR="007B532C" w:rsidRPr="007B532C" w:rsidRDefault="007B532C" w:rsidP="007B532C">
      <w:pPr>
        <w:pStyle w:val="a3"/>
        <w:numPr>
          <w:ilvl w:val="0"/>
          <w:numId w:val="10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 xml:space="preserve">Tissue </w:t>
      </w:r>
      <w:proofErr w:type="spellStart"/>
      <w:r w:rsidRPr="007B532C">
        <w:rPr>
          <w:rFonts w:ascii="Times New Roman" w:hAnsi="Times New Roman" w:cs="Times New Roman"/>
          <w:sz w:val="28"/>
          <w:szCs w:val="28"/>
          <w:lang w:bidi="ar-IQ"/>
        </w:rPr>
        <w:t>radiosensitivity</w:t>
      </w:r>
      <w:proofErr w:type="spellEnd"/>
    </w:p>
    <w:p w:rsidR="007B532C" w:rsidRPr="007B532C" w:rsidRDefault="007B532C" w:rsidP="007B532C">
      <w:pPr>
        <w:pStyle w:val="a3"/>
        <w:numPr>
          <w:ilvl w:val="0"/>
          <w:numId w:val="10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>The volume of organ tissue within the radiotherapy portal</w:t>
      </w:r>
    </w:p>
    <w:p w:rsidR="007B532C" w:rsidRPr="007B532C" w:rsidRDefault="007B532C" w:rsidP="007B532C">
      <w:pPr>
        <w:pStyle w:val="a3"/>
        <w:numPr>
          <w:ilvl w:val="0"/>
          <w:numId w:val="10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>Organ type: serial or parallel</w:t>
      </w:r>
    </w:p>
    <w:p w:rsidR="007B532C" w:rsidRPr="007B532C" w:rsidRDefault="007B532C" w:rsidP="007B532C">
      <w:pPr>
        <w:bidi w:val="0"/>
        <w:ind w:left="36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>2.</w:t>
      </w:r>
      <w:r w:rsidRPr="007B532C">
        <w:rPr>
          <w:rFonts w:ascii="Times New Roman" w:hAnsi="Times New Roman" w:cs="Times New Roman"/>
          <w:b/>
          <w:bCs/>
          <w:sz w:val="28"/>
          <w:szCs w:val="28"/>
          <w:lang w:bidi="ar-IQ"/>
        </w:rPr>
        <w:t>Factors related to treatment</w:t>
      </w:r>
    </w:p>
    <w:p w:rsidR="007B532C" w:rsidRPr="007B532C" w:rsidRDefault="007B532C" w:rsidP="007B532C">
      <w:pPr>
        <w:pStyle w:val="a3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>Dose</w:t>
      </w:r>
      <w:r w:rsidRPr="007B532C">
        <w:rPr>
          <w:rFonts w:ascii="Times New Roman" w:hAnsi="Times New Roman" w:cs="Times New Roman" w:hint="eastAsia"/>
          <w:sz w:val="28"/>
          <w:szCs w:val="28"/>
          <w:lang w:bidi="ar-IQ"/>
        </w:rPr>
        <w:t>–</w:t>
      </w:r>
      <w:r w:rsidRPr="007B532C">
        <w:rPr>
          <w:rFonts w:ascii="Times New Roman" w:hAnsi="Times New Roman" w:cs="Times New Roman"/>
          <w:sz w:val="28"/>
          <w:szCs w:val="28"/>
          <w:lang w:bidi="ar-IQ"/>
        </w:rPr>
        <w:t>time fractionation</w:t>
      </w:r>
    </w:p>
    <w:p w:rsidR="007B532C" w:rsidRPr="007B532C" w:rsidRDefault="007B532C" w:rsidP="007B532C">
      <w:pPr>
        <w:pStyle w:val="a3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>Quality of radiation (RBE, LET)</w:t>
      </w:r>
    </w:p>
    <w:p w:rsidR="007B532C" w:rsidRPr="007B532C" w:rsidRDefault="007B532C" w:rsidP="007B532C">
      <w:pPr>
        <w:pStyle w:val="a3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>Dose rate</w:t>
      </w:r>
    </w:p>
    <w:p w:rsidR="007B532C" w:rsidRPr="007B532C" w:rsidRDefault="007B532C" w:rsidP="007B532C">
      <w:pPr>
        <w:pStyle w:val="a3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 xml:space="preserve">Use of </w:t>
      </w:r>
      <w:proofErr w:type="spellStart"/>
      <w:r w:rsidRPr="007B532C">
        <w:rPr>
          <w:rFonts w:ascii="Times New Roman" w:hAnsi="Times New Roman" w:cs="Times New Roman"/>
          <w:sz w:val="28"/>
          <w:szCs w:val="28"/>
          <w:lang w:bidi="ar-IQ"/>
        </w:rPr>
        <w:t>radioprotectors</w:t>
      </w:r>
      <w:proofErr w:type="spellEnd"/>
    </w:p>
    <w:p w:rsidR="007B532C" w:rsidRPr="007B532C" w:rsidRDefault="007B532C" w:rsidP="007B532C">
      <w:pPr>
        <w:pStyle w:val="a3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>Combination of RT with surgery and/or chemotherapy</w:t>
      </w:r>
    </w:p>
    <w:p w:rsidR="007B532C" w:rsidRPr="007B532C" w:rsidRDefault="007B532C" w:rsidP="007B532C">
      <w:pPr>
        <w:pStyle w:val="a3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>Technique (e.g., addition of boost field)</w:t>
      </w:r>
    </w:p>
    <w:p w:rsidR="007B532C" w:rsidRDefault="007B532C" w:rsidP="007B532C">
      <w:pPr>
        <w:pStyle w:val="a3"/>
        <w:numPr>
          <w:ilvl w:val="0"/>
          <w:numId w:val="13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B532C">
        <w:rPr>
          <w:rFonts w:ascii="Times New Roman" w:hAnsi="Times New Roman" w:cs="Times New Roman"/>
          <w:sz w:val="28"/>
          <w:szCs w:val="28"/>
          <w:lang w:bidi="ar-IQ"/>
        </w:rPr>
        <w:t>Treatment modality (e.g., brachytherapy, conformal RT, IMRT, IGRT, targeted RT)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7B532C" w:rsidRDefault="007B532C" w:rsidP="007B532C">
      <w:pPr>
        <w:rPr>
          <w:lang w:bidi="ar-IQ"/>
        </w:rPr>
      </w:pPr>
    </w:p>
    <w:p w:rsidR="007B532C" w:rsidRPr="007B532C" w:rsidRDefault="007B532C" w:rsidP="007B532C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7B532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The Clinical Importance of TCP and NTCP </w:t>
      </w:r>
    </w:p>
    <w:p w:rsidR="007B532C" w:rsidRPr="007B532C" w:rsidRDefault="007B532C" w:rsidP="007B53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B532C">
        <w:rPr>
          <w:rFonts w:asciiTheme="majorBidi" w:hAnsiTheme="majorBidi" w:cstheme="majorBidi"/>
          <w:sz w:val="28"/>
          <w:szCs w:val="28"/>
          <w:lang w:bidi="ar-IQ"/>
        </w:rPr>
        <w:t>• The TCP and NTCP can be used to estimate the treatment success and side effects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B532C">
        <w:rPr>
          <w:rFonts w:asciiTheme="majorBidi" w:hAnsiTheme="majorBidi" w:cstheme="majorBidi"/>
          <w:sz w:val="28"/>
          <w:szCs w:val="28"/>
          <w:lang w:bidi="ar-IQ"/>
        </w:rPr>
        <w:t>in particular.</w:t>
      </w:r>
    </w:p>
    <w:p w:rsidR="00E72973" w:rsidRPr="007B532C" w:rsidRDefault="007B532C" w:rsidP="007B532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B532C">
        <w:rPr>
          <w:rFonts w:asciiTheme="majorBidi" w:hAnsiTheme="majorBidi" w:cstheme="majorBidi"/>
          <w:sz w:val="28"/>
          <w:szCs w:val="28"/>
          <w:lang w:bidi="ar-IQ"/>
        </w:rPr>
        <w:t>• Dose–volume histograms created by treatment planning systems (particularly 3D-conformal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B532C">
        <w:rPr>
          <w:rFonts w:asciiTheme="majorBidi" w:hAnsiTheme="majorBidi" w:cstheme="majorBidi"/>
          <w:sz w:val="28"/>
          <w:szCs w:val="28"/>
          <w:lang w:bidi="ar-IQ"/>
        </w:rPr>
        <w:t>radiotherapy and IMRT) as well as TCP and NTCP mathematical modeling are very useful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B532C">
        <w:rPr>
          <w:rFonts w:asciiTheme="majorBidi" w:hAnsiTheme="majorBidi" w:cstheme="majorBidi"/>
          <w:sz w:val="28"/>
          <w:szCs w:val="28"/>
          <w:lang w:bidi="ar-IQ"/>
        </w:rPr>
        <w:t>for graphically demonstrating normal tissue damage ratios within the treated tumor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bookmarkStart w:id="0" w:name="_GoBack"/>
      <w:bookmarkEnd w:id="0"/>
      <w:r w:rsidRPr="007B532C">
        <w:rPr>
          <w:rFonts w:asciiTheme="majorBidi" w:hAnsiTheme="majorBidi" w:cstheme="majorBidi"/>
          <w:sz w:val="28"/>
          <w:szCs w:val="28"/>
          <w:lang w:bidi="ar-IQ"/>
        </w:rPr>
        <w:t>volume, and can be used to guide clinicians during treatment planning</w:t>
      </w:r>
    </w:p>
    <w:sectPr w:rsidR="00E72973" w:rsidRPr="007B532C" w:rsidSect="00533F51">
      <w:pgSz w:w="11906" w:h="16838"/>
      <w:pgMar w:top="1440" w:right="1416" w:bottom="1440" w:left="1276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JOJL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A98"/>
    <w:multiLevelType w:val="hybridMultilevel"/>
    <w:tmpl w:val="B6EC1FDE"/>
    <w:lvl w:ilvl="0" w:tplc="0A0A6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6516"/>
    <w:multiLevelType w:val="hybridMultilevel"/>
    <w:tmpl w:val="8918FC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A6E"/>
    <w:multiLevelType w:val="hybridMultilevel"/>
    <w:tmpl w:val="B638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307B9"/>
    <w:multiLevelType w:val="hybridMultilevel"/>
    <w:tmpl w:val="E43A4B38"/>
    <w:lvl w:ilvl="0" w:tplc="864ED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574E"/>
    <w:multiLevelType w:val="hybridMultilevel"/>
    <w:tmpl w:val="0A82A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D1ED3"/>
    <w:multiLevelType w:val="hybridMultilevel"/>
    <w:tmpl w:val="5D62D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2FD0"/>
    <w:multiLevelType w:val="hybridMultilevel"/>
    <w:tmpl w:val="01C892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4406B"/>
    <w:multiLevelType w:val="hybridMultilevel"/>
    <w:tmpl w:val="1168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0015A"/>
    <w:multiLevelType w:val="hybridMultilevel"/>
    <w:tmpl w:val="FA4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793"/>
    <w:multiLevelType w:val="hybridMultilevel"/>
    <w:tmpl w:val="9112EEA4"/>
    <w:lvl w:ilvl="0" w:tplc="8E4C9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15A11"/>
    <w:multiLevelType w:val="hybridMultilevel"/>
    <w:tmpl w:val="07D83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2B3D"/>
    <w:multiLevelType w:val="hybridMultilevel"/>
    <w:tmpl w:val="37EE2914"/>
    <w:lvl w:ilvl="0" w:tplc="5CB894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372DE"/>
    <w:multiLevelType w:val="hybridMultilevel"/>
    <w:tmpl w:val="06203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A1E6F"/>
    <w:multiLevelType w:val="hybridMultilevel"/>
    <w:tmpl w:val="2650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C9C43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F"/>
    <w:rsid w:val="00031FE7"/>
    <w:rsid w:val="00292CB5"/>
    <w:rsid w:val="002E5520"/>
    <w:rsid w:val="002E79D4"/>
    <w:rsid w:val="004A43D9"/>
    <w:rsid w:val="00500EE3"/>
    <w:rsid w:val="00533F51"/>
    <w:rsid w:val="007A659C"/>
    <w:rsid w:val="007B532C"/>
    <w:rsid w:val="00873D2E"/>
    <w:rsid w:val="008D5B5F"/>
    <w:rsid w:val="008E4CD9"/>
    <w:rsid w:val="008F3A56"/>
    <w:rsid w:val="00976A7F"/>
    <w:rsid w:val="009D0D44"/>
    <w:rsid w:val="00C16EE5"/>
    <w:rsid w:val="00CB5EBA"/>
    <w:rsid w:val="00DD4688"/>
    <w:rsid w:val="00DE6761"/>
    <w:rsid w:val="00E7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2A26B2"/>
  <w15:chartTrackingRefBased/>
  <w15:docId w15:val="{C699A346-493F-4433-94B1-9962229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7F"/>
    <w:pPr>
      <w:ind w:left="720"/>
      <w:contextualSpacing/>
    </w:pPr>
  </w:style>
  <w:style w:type="paragraph" w:customStyle="1" w:styleId="Default">
    <w:name w:val="Default"/>
    <w:rsid w:val="00DD4688"/>
    <w:pPr>
      <w:autoSpaceDE w:val="0"/>
      <w:autoSpaceDN w:val="0"/>
      <w:adjustRightInd w:val="0"/>
      <w:spacing w:after="0" w:line="240" w:lineRule="auto"/>
    </w:pPr>
    <w:rPr>
      <w:rFonts w:ascii="BJOJLE+TimesNewRoman,Bold" w:hAnsi="BJOJLE+TimesNewRoman,Bold" w:cs="BJOJLE+TimesNewRoman,Bold"/>
      <w:color w:val="000000"/>
      <w:sz w:val="24"/>
      <w:szCs w:val="24"/>
      <w:lang w:bidi="fa-IR"/>
    </w:rPr>
  </w:style>
  <w:style w:type="paragraph" w:styleId="a4">
    <w:name w:val="header"/>
    <w:basedOn w:val="Default"/>
    <w:next w:val="Default"/>
    <w:link w:val="Char"/>
    <w:uiPriority w:val="99"/>
    <w:rsid w:val="00DD4688"/>
    <w:rPr>
      <w:rFonts w:cstheme="minorBidi"/>
      <w:color w:val="auto"/>
    </w:rPr>
  </w:style>
  <w:style w:type="character" w:customStyle="1" w:styleId="Char">
    <w:name w:val="رأس الصفحة Char"/>
    <w:basedOn w:val="a0"/>
    <w:link w:val="a4"/>
    <w:uiPriority w:val="99"/>
    <w:rsid w:val="00DD4688"/>
    <w:rPr>
      <w:rFonts w:ascii="BJOJLE+TimesNewRoman,Bold" w:hAnsi="BJOJLE+TimesNewRoman,Bold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2024-04-08T07:47:00Z</dcterms:created>
  <dcterms:modified xsi:type="dcterms:W3CDTF">2024-04-08T07:47:00Z</dcterms:modified>
</cp:coreProperties>
</file>