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F1A" w14:textId="77777777" w:rsidR="00563987" w:rsidRPr="00563987" w:rsidRDefault="00563987" w:rsidP="00563987">
      <w:pPr>
        <w:rPr>
          <w:rFonts w:eastAsiaTheme="minorHAnsi"/>
          <w:vanish/>
        </w:rPr>
      </w:pPr>
      <w:r w:rsidRPr="00563987">
        <w:rPr>
          <w:rFonts w:eastAsiaTheme="minorHAnsi"/>
          <w:vanish/>
        </w:rPr>
        <w:t>Top of Form</w:t>
      </w:r>
    </w:p>
    <w:p w14:paraId="71E011CC" w14:textId="77777777" w:rsidR="00563987" w:rsidRPr="00563987" w:rsidRDefault="00563987" w:rsidP="00563987">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563987" w:rsidRPr="00563987" w14:paraId="067828EC" w14:textId="77777777" w:rsidTr="00563987">
        <w:trPr>
          <w:tblCellSpacing w:w="0" w:type="dxa"/>
        </w:trPr>
        <w:tc>
          <w:tcPr>
            <w:tcW w:w="150" w:type="dxa"/>
            <w:vAlign w:val="center"/>
            <w:hideMark/>
          </w:tcPr>
          <w:p w14:paraId="3C17B8A5" w14:textId="142E3614"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56E4E72D" wp14:editId="670DB6E4">
                      <wp:extent cx="95250" cy="95250"/>
                      <wp:effectExtent l="0" t="0" r="0" b="0"/>
                      <wp:docPr id="77894568" name="Rectangl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77124" id="Rectangle 2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75135D64" w14:textId="4BE852C9"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68593D3" wp14:editId="196ED4D9">
                      <wp:extent cx="304800" cy="304800"/>
                      <wp:effectExtent l="0" t="0" r="0" b="0"/>
                      <wp:docPr id="1190133494" name="Rectangl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DC6FF" id="Rectangle 1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02F2C22A" w14:textId="596A067D"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D84BD66" wp14:editId="77497DBF">
                      <wp:extent cx="304800" cy="304800"/>
                      <wp:effectExtent l="0" t="0" r="0" b="0"/>
                      <wp:docPr id="725516206" name="Rectangl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63ABF" id="Rectangle 1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w:t>
            </w:r>
          </w:p>
        </w:tc>
        <w:tc>
          <w:tcPr>
            <w:tcW w:w="0" w:type="auto"/>
            <w:vAlign w:val="center"/>
            <w:hideMark/>
          </w:tcPr>
          <w:p w14:paraId="360F6A0C" w14:textId="77777777" w:rsidR="00563987" w:rsidRPr="00563987" w:rsidRDefault="00563987" w:rsidP="00563987">
            <w:pPr>
              <w:rPr>
                <w:rFonts w:eastAsiaTheme="minorHAnsi"/>
              </w:rPr>
            </w:pPr>
            <w:hyperlink r:id="rId7" w:history="1">
              <w:r w:rsidRPr="00563987">
                <w:rPr>
                  <w:rStyle w:val="Hyperlink"/>
                  <w:rFonts w:eastAsiaTheme="minorHAnsi"/>
                </w:rPr>
                <w:t>Print</w:t>
              </w:r>
            </w:hyperlink>
            <w:r w:rsidRPr="00563987">
              <w:rPr>
                <w:rFonts w:eastAsiaTheme="minorHAnsi"/>
              </w:rPr>
              <w:t>  |  </w:t>
            </w:r>
            <w:hyperlink r:id="rId8" w:history="1">
              <w:r w:rsidRPr="00563987">
                <w:rPr>
                  <w:rStyle w:val="Hyperlink"/>
                  <w:rFonts w:eastAsiaTheme="minorHAnsi"/>
                </w:rPr>
                <w:t>Close Window</w:t>
              </w:r>
            </w:hyperlink>
          </w:p>
        </w:tc>
        <w:tc>
          <w:tcPr>
            <w:tcW w:w="150" w:type="dxa"/>
            <w:vAlign w:val="center"/>
            <w:hideMark/>
          </w:tcPr>
          <w:p w14:paraId="08642F53" w14:textId="5DC7A2E2"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862D14B" wp14:editId="530E11A4">
                      <wp:extent cx="95250" cy="95250"/>
                      <wp:effectExtent l="0" t="0" r="0" b="0"/>
                      <wp:docPr id="1994473058" name="Rectangl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37F31" id="Rectangle 1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4AC687D4" w14:textId="77777777" w:rsidR="00563987" w:rsidRPr="00563987" w:rsidRDefault="00563987" w:rsidP="00563987">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63987" w:rsidRPr="00563987" w14:paraId="6BF3BAAF" w14:textId="77777777" w:rsidTr="00563987">
        <w:trPr>
          <w:tblCellSpacing w:w="0" w:type="dxa"/>
        </w:trPr>
        <w:tc>
          <w:tcPr>
            <w:tcW w:w="150" w:type="dxa"/>
            <w:vAlign w:val="center"/>
            <w:hideMark/>
          </w:tcPr>
          <w:p w14:paraId="3D559C4B" w14:textId="03A67F63"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203D8A1" wp14:editId="58B3C557">
                      <wp:extent cx="95250" cy="95250"/>
                      <wp:effectExtent l="0" t="0" r="0" b="0"/>
                      <wp:docPr id="2147235192" name="Rectangl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BE367" id="Rectangle 1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563987" w:rsidRPr="00563987" w14:paraId="4619BA9D" w14:textId="77777777">
              <w:trPr>
                <w:tblCellSpacing w:w="0" w:type="dxa"/>
              </w:trPr>
              <w:tc>
                <w:tcPr>
                  <w:tcW w:w="0" w:type="auto"/>
                  <w:vAlign w:val="center"/>
                  <w:hideMark/>
                </w:tcPr>
                <w:p w14:paraId="1859BFA4" w14:textId="77777777" w:rsidR="00563987" w:rsidRPr="00563987" w:rsidRDefault="00563987" w:rsidP="00563987">
                  <w:pPr>
                    <w:rPr>
                      <w:rFonts w:eastAsiaTheme="minorHAnsi"/>
                    </w:rPr>
                  </w:pPr>
                  <w:r w:rsidRPr="00563987">
                    <w:rPr>
                      <w:rFonts w:eastAsiaTheme="minorHAnsi"/>
                    </w:rPr>
                    <w:br/>
                  </w:r>
                  <w:r w:rsidRPr="00563987">
                    <w:rPr>
                      <w:rFonts w:eastAsiaTheme="minorHAnsi"/>
                      <w:b/>
                      <w:bCs/>
                    </w:rPr>
                    <w:t>Note:</w:t>
                  </w:r>
                  <w:r w:rsidRPr="00563987">
                    <w:rPr>
                      <w:rFonts w:eastAsiaTheme="minorHAnsi"/>
                    </w:rPr>
                    <w:t xml:space="preserve"> Large images and tables on this page may necessitate printing in landscape mode.</w:t>
                  </w:r>
                  <w:r w:rsidRPr="00563987">
                    <w:rPr>
                      <w:rFonts w:eastAsiaTheme="minorHAnsi"/>
                    </w:rPr>
                    <w:br/>
                  </w:r>
                </w:p>
              </w:tc>
            </w:tr>
          </w:tbl>
          <w:p w14:paraId="6418F02D" w14:textId="77777777" w:rsidR="00563987" w:rsidRPr="00563987" w:rsidRDefault="00563987" w:rsidP="00563987">
            <w:pPr>
              <w:rPr>
                <w:rFonts w:eastAsiaTheme="minorHAnsi"/>
              </w:rPr>
            </w:pPr>
          </w:p>
        </w:tc>
        <w:tc>
          <w:tcPr>
            <w:tcW w:w="150" w:type="dxa"/>
            <w:vAlign w:val="center"/>
            <w:hideMark/>
          </w:tcPr>
          <w:p w14:paraId="2BC2D1B4" w14:textId="201C2375"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89A5CAD" wp14:editId="3A4FBD40">
                      <wp:extent cx="95250" cy="95250"/>
                      <wp:effectExtent l="0" t="0" r="0" b="0"/>
                      <wp:docPr id="605714024" name="Rectangl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0A5FC" id="Rectangle 1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004DB2AE" w14:textId="77777777" w:rsidR="00563987" w:rsidRPr="00563987" w:rsidRDefault="00563987" w:rsidP="00563987">
      <w:pPr>
        <w:rPr>
          <w:rFonts w:eastAsiaTheme="minorHAnsi"/>
        </w:rPr>
      </w:pPr>
    </w:p>
    <w:p w14:paraId="3FCC6E4A" w14:textId="77777777" w:rsidR="00563987" w:rsidRPr="00563987" w:rsidRDefault="00563987" w:rsidP="00563987">
      <w:pPr>
        <w:rPr>
          <w:rFonts w:eastAsiaTheme="minorHAnsi"/>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63987" w:rsidRPr="00563987" w14:paraId="7CF3424D" w14:textId="77777777" w:rsidTr="00563987">
        <w:trPr>
          <w:tblCellSpacing w:w="0" w:type="dxa"/>
        </w:trPr>
        <w:tc>
          <w:tcPr>
            <w:tcW w:w="150" w:type="dxa"/>
            <w:vAlign w:val="center"/>
            <w:hideMark/>
          </w:tcPr>
          <w:p w14:paraId="20AFE5C0" w14:textId="22DEDDE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4E21791" wp14:editId="56F12AFC">
                      <wp:extent cx="95250" cy="95250"/>
                      <wp:effectExtent l="0" t="0" r="0" b="0"/>
                      <wp:docPr id="565574625"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408F5" id="Rectangle 1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170DC8F3" w14:textId="77777777" w:rsidR="00563987" w:rsidRPr="00563987" w:rsidRDefault="00563987" w:rsidP="00563987">
            <w:pPr>
              <w:rPr>
                <w:rFonts w:eastAsiaTheme="minorHAnsi"/>
              </w:rPr>
            </w:pPr>
            <w:r w:rsidRPr="00563987">
              <w:rPr>
                <w:rFonts w:eastAsiaTheme="minorHAnsi"/>
                <w:b/>
                <w:bCs/>
              </w:rPr>
              <w:t>Applied Biopharmaceutics &amp; Pharmacokinetics &gt; Chapter 15. Bioavailability and Bioequivalence &gt;</w:t>
            </w:r>
            <w:bookmarkStart w:id="0" w:name="2481634"/>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63D28B56" w14:textId="77777777">
              <w:trPr>
                <w:tblCellSpacing w:w="0" w:type="dxa"/>
              </w:trPr>
              <w:tc>
                <w:tcPr>
                  <w:tcW w:w="0" w:type="auto"/>
                  <w:shd w:val="clear" w:color="auto" w:fill="FFFFFF"/>
                  <w:hideMark/>
                </w:tcPr>
                <w:p w14:paraId="06E2CFB9" w14:textId="77777777" w:rsidR="00563987" w:rsidRPr="00563987" w:rsidRDefault="00563987" w:rsidP="00563987">
                  <w:pPr>
                    <w:rPr>
                      <w:rFonts w:eastAsiaTheme="minorHAnsi"/>
                    </w:rPr>
                  </w:pPr>
                  <w:r w:rsidRPr="00563987">
                    <w:rPr>
                      <w:rFonts w:eastAsiaTheme="minorHAnsi"/>
                    </w:rPr>
                    <w:t>Bioavailability and Bioequivalence: Introduction</w:t>
                  </w:r>
                </w:p>
                <w:p w14:paraId="46479D96" w14:textId="77777777" w:rsidR="00563987" w:rsidRPr="00563987" w:rsidRDefault="00563987" w:rsidP="00563987">
                  <w:pPr>
                    <w:rPr>
                      <w:rFonts w:eastAsiaTheme="minorHAnsi"/>
                    </w:rPr>
                  </w:pPr>
                  <w:bookmarkStart w:id="1" w:name="2481635"/>
                  <w:bookmarkEnd w:id="1"/>
                  <w:r w:rsidRPr="00563987">
                    <w:rPr>
                      <w:rFonts w:eastAsiaTheme="minorHAnsi"/>
                    </w:rPr>
                    <w:t xml:space="preserve">A </w:t>
                  </w:r>
                  <w:r w:rsidRPr="00563987">
                    <w:rPr>
                      <w:rFonts w:eastAsiaTheme="minorHAnsi"/>
                      <w:i/>
                      <w:iCs/>
                    </w:rPr>
                    <w:t xml:space="preserve">multisource drug product </w:t>
                  </w:r>
                  <w:r w:rsidRPr="00563987">
                    <w:rPr>
                      <w:rFonts w:eastAsiaTheme="minorHAnsi"/>
                    </w:rPr>
                    <w:t xml:space="preserve">is a drug product that contains the same active drug substance in the same dosage form and is marketed by more than one pharmaceutical manufacturer. </w:t>
                  </w:r>
                  <w:r w:rsidRPr="00563987">
                    <w:rPr>
                      <w:rFonts w:eastAsiaTheme="minorHAnsi"/>
                      <w:i/>
                      <w:iCs/>
                    </w:rPr>
                    <w:t>Single-source drug products</w:t>
                  </w:r>
                  <w:r w:rsidRPr="00563987">
                    <w:rPr>
                      <w:rFonts w:eastAsiaTheme="minorHAnsi"/>
                    </w:rPr>
                    <w:t xml:space="preserve"> are drug products for which the patent has not yet expired or has certain exclusivities so that only one manufacturer can make it. Single-source drug products are usually brand-name (innovator) drug products. After the patent and other exclusivities for the brand-name drug expires, a pharmaceutical firm may manufacture a generic drug product that can be substituted for the branded drug product. Since the formulation and method of manufacture of the drug product can affect the bioavailability and stability of the drug, the generic drug manufacturer must demonstrate that the generic drug product is bioequivalent and therapeutically equivalent to the brand-name drug product. </w:t>
                  </w:r>
                </w:p>
                <w:p w14:paraId="447551DE" w14:textId="77777777" w:rsidR="00563987" w:rsidRPr="00563987" w:rsidRDefault="00563987" w:rsidP="00563987">
                  <w:pPr>
                    <w:rPr>
                      <w:rFonts w:eastAsiaTheme="minorHAnsi"/>
                    </w:rPr>
                  </w:pPr>
                  <w:bookmarkStart w:id="2" w:name="2481636"/>
                  <w:bookmarkEnd w:id="2"/>
                  <w:r w:rsidRPr="00563987">
                    <w:rPr>
                      <w:rFonts w:eastAsiaTheme="minorHAnsi"/>
                    </w:rPr>
                    <w:t xml:space="preserve">Drug product selection and generic drug product substitution are major responsibilities for physicians, pharmacists, and others who prescribe, dispense, or purchase drugs. To facilitate such decisions, the U.S. Food and Drug Administration (FDA) publishes annually, in print and on the Internet, </w:t>
                  </w:r>
                  <w:r w:rsidRPr="00563987">
                    <w:rPr>
                      <w:rFonts w:eastAsiaTheme="minorHAnsi"/>
                      <w:i/>
                      <w:iCs/>
                    </w:rPr>
                    <w:t>Approved Drug Products with Therapeutic Equivalence Evaluations</w:t>
                  </w:r>
                  <w:r w:rsidRPr="00563987">
                    <w:rPr>
                      <w:rFonts w:eastAsiaTheme="minorHAnsi"/>
                    </w:rPr>
                    <w:t xml:space="preserve">, also known as the </w:t>
                  </w:r>
                  <w:r w:rsidRPr="00563987">
                    <w:rPr>
                      <w:rFonts w:eastAsiaTheme="minorHAnsi"/>
                      <w:i/>
                      <w:iCs/>
                    </w:rPr>
                    <w:t xml:space="preserve">Orange Book </w:t>
                  </w:r>
                  <w:r w:rsidRPr="00563987">
                    <w:rPr>
                      <w:rFonts w:eastAsiaTheme="minorHAnsi"/>
                    </w:rPr>
                    <w:t xml:space="preserve">(www.fda.gov/cder/orange/default.htm). The </w:t>
                  </w:r>
                  <w:r w:rsidRPr="00563987">
                    <w:rPr>
                      <w:rFonts w:eastAsiaTheme="minorHAnsi"/>
                      <w:i/>
                      <w:iCs/>
                    </w:rPr>
                    <w:t>Orange Book</w:t>
                  </w:r>
                  <w:r w:rsidRPr="00563987">
                    <w:rPr>
                      <w:rFonts w:eastAsiaTheme="minorHAnsi"/>
                    </w:rPr>
                    <w:t xml:space="preserve"> identifies drug products approved on the basis of safety and effectiveness by the FDA and contains therapeutic equivalence evaluations for approved multisource prescription drug products. These evaluations serve as public information and advice to state health agencies, prescribers, and pharmacists to promote public education in the area of drug product selection and to foster containment of health care costs. The following definitions are from the </w:t>
                  </w:r>
                  <w:r w:rsidRPr="00563987">
                    <w:rPr>
                      <w:rFonts w:eastAsiaTheme="minorHAnsi"/>
                      <w:i/>
                      <w:iCs/>
                    </w:rPr>
                    <w:t>2003 Orange Book, Code of Federal Regulations</w:t>
                  </w:r>
                  <w:r w:rsidRPr="00563987">
                    <w:rPr>
                      <w:rFonts w:eastAsiaTheme="minorHAnsi"/>
                    </w:rPr>
                    <w:t>, 21 CFR 320, and other sources.</w:t>
                  </w:r>
                </w:p>
              </w:tc>
            </w:tr>
          </w:tbl>
          <w:p w14:paraId="1F384C58" w14:textId="77777777" w:rsidR="00563987" w:rsidRPr="00563987" w:rsidRDefault="00563987" w:rsidP="00563987">
            <w:pPr>
              <w:rPr>
                <w:rFonts w:eastAsiaTheme="minorHAnsi"/>
                <w:vanish/>
              </w:rPr>
            </w:pPr>
            <w:bookmarkStart w:id="3" w:name="2481637"/>
            <w:bookmarkEnd w:id="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342526D5" w14:textId="77777777">
              <w:trPr>
                <w:tblCellSpacing w:w="0" w:type="dxa"/>
              </w:trPr>
              <w:tc>
                <w:tcPr>
                  <w:tcW w:w="0" w:type="auto"/>
                  <w:shd w:val="clear" w:color="auto" w:fill="FFFFFF"/>
                  <w:hideMark/>
                </w:tcPr>
                <w:p w14:paraId="4DD5873D" w14:textId="77777777" w:rsidR="00563987" w:rsidRPr="00563987" w:rsidRDefault="00563987" w:rsidP="00563987">
                  <w:pPr>
                    <w:rPr>
                      <w:rFonts w:eastAsiaTheme="minorHAnsi"/>
                    </w:rPr>
                  </w:pPr>
                  <w:r w:rsidRPr="00563987">
                    <w:rPr>
                      <w:rFonts w:eastAsiaTheme="minorHAnsi"/>
                    </w:rPr>
                    <w:t>Definitions</w:t>
                  </w:r>
                </w:p>
                <w:p w14:paraId="13B1FCA4" w14:textId="5AA08E65"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0AECA6E" wp14:editId="76920396">
                            <wp:extent cx="304800" cy="304800"/>
                            <wp:effectExtent l="0" t="0" r="0" b="0"/>
                            <wp:docPr id="2138292751" name="Rectangl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AF703" id="Rectangle 1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Bioavailability</w:t>
                  </w:r>
                  <w:r w:rsidRPr="00563987">
                    <w:rPr>
                      <w:rFonts w:eastAsiaTheme="minorHAnsi"/>
                    </w:rPr>
                    <w:t xml:space="preserve">. Bioavailability means the rate and extent to which the active ingredient or active moiety is absorbed from a drug product and becomes available at the site of action. For drug products that are not intended to be absorbed into the bloodstream, bioavailability may be assessed by measurements intended to reflect the rate and extent to which the active ingredient or active moiety becomes available at the site of action. </w:t>
                  </w:r>
                </w:p>
                <w:p w14:paraId="2E35CC03" w14:textId="4D7F2D8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C988CA5" wp14:editId="62AE22F0">
                            <wp:extent cx="304800" cy="304800"/>
                            <wp:effectExtent l="0" t="0" r="0" b="0"/>
                            <wp:docPr id="236284556" name="Rectangl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8DD5B" id="Rectangle 1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Bioequivalence requirement</w:t>
                  </w:r>
                  <w:r w:rsidRPr="00563987">
                    <w:rPr>
                      <w:rFonts w:eastAsiaTheme="minorHAnsi"/>
                    </w:rPr>
                    <w:t xml:space="preserve">. A requirement imposed by the FDA for </w:t>
                  </w:r>
                  <w:r w:rsidRPr="00563987">
                    <w:rPr>
                      <w:rFonts w:eastAsiaTheme="minorHAnsi"/>
                      <w:i/>
                      <w:iCs/>
                    </w:rPr>
                    <w:t>in-vitro</w:t>
                  </w:r>
                  <w:r w:rsidRPr="00563987">
                    <w:rPr>
                      <w:rFonts w:eastAsiaTheme="minorHAnsi"/>
                    </w:rPr>
                    <w:t xml:space="preserve"> and/or </w:t>
                  </w:r>
                  <w:r w:rsidRPr="00563987">
                    <w:rPr>
                      <w:rFonts w:eastAsiaTheme="minorHAnsi"/>
                      <w:i/>
                      <w:iCs/>
                    </w:rPr>
                    <w:t>in-vivo</w:t>
                  </w:r>
                  <w:r w:rsidRPr="00563987">
                    <w:rPr>
                      <w:rFonts w:eastAsiaTheme="minorHAnsi"/>
                    </w:rPr>
                    <w:t xml:space="preserve"> testing of specified drug products, which must be satisfied as a condition for marketing. </w:t>
                  </w:r>
                </w:p>
                <w:p w14:paraId="60E05DEA" w14:textId="782A746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3584FA3" wp14:editId="252ADB44">
                            <wp:extent cx="304800" cy="304800"/>
                            <wp:effectExtent l="0" t="0" r="0" b="0"/>
                            <wp:docPr id="1615468155" name="Rectangl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398AC" id="Rectangle 1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Bioequivalent drug products</w:t>
                  </w:r>
                  <w:r w:rsidRPr="00563987">
                    <w:rPr>
                      <w:rFonts w:eastAsiaTheme="minorHAnsi"/>
                    </w:rPr>
                    <w:t xml:space="preserve">. This term describes pharmaceutical equivalent or pharmaceutical alternative products that display comparable bioavailability when studied under similar experimental conditions. For systemically absorbed drugs, the test (generic) and reference listed drug (brand-name) shall be considered bioequivalent if: (1) the rate and extent of absorption of the test drug do not show a significant difference from the rate and extent of absorption of the reference drug when administered at the same molar dose of the therapeutic ingredient under similar experimental conditions in either a single dose or multiple doses; or (2) the extent of absorption of the test drug does not show a significant difference from the extent of absorption of the reference drug when administered at the same molar dose of the therapeutic ingredient under similar experimental conditions in either a single dose or multiple doses and the difference from the reference drug in the rate of absorption of the drug is intentional, is reflected in its proposed labeling, is not essential to the attainment of effective body drug concentrations on chronic use, and is considered medically insignificant for the drug. </w:t>
                  </w:r>
                </w:p>
                <w:p w14:paraId="1A7FB725" w14:textId="77777777" w:rsidR="00563987" w:rsidRPr="00563987" w:rsidRDefault="00563987" w:rsidP="00563987">
                  <w:pPr>
                    <w:rPr>
                      <w:rFonts w:eastAsiaTheme="minorHAnsi"/>
                    </w:rPr>
                  </w:pPr>
                  <w:r w:rsidRPr="00563987">
                    <w:rPr>
                      <w:rFonts w:eastAsiaTheme="minorHAnsi"/>
                    </w:rPr>
                    <w:t>When the above methods are not applicable (</w:t>
                  </w:r>
                  <w:proofErr w:type="spellStart"/>
                  <w:r w:rsidRPr="00563987">
                    <w:rPr>
                      <w:rFonts w:eastAsiaTheme="minorHAnsi"/>
                    </w:rPr>
                    <w:t>eg</w:t>
                  </w:r>
                  <w:proofErr w:type="spellEnd"/>
                  <w:r w:rsidRPr="00563987">
                    <w:rPr>
                      <w:rFonts w:eastAsiaTheme="minorHAnsi"/>
                    </w:rPr>
                    <w:t xml:space="preserve">, for drug products that are not intended to be absorbed into the bloodstream), other </w:t>
                  </w:r>
                  <w:r w:rsidRPr="00563987">
                    <w:rPr>
                      <w:rFonts w:eastAsiaTheme="minorHAnsi"/>
                      <w:i/>
                      <w:iCs/>
                    </w:rPr>
                    <w:t>in-vivo</w:t>
                  </w:r>
                  <w:r w:rsidRPr="00563987">
                    <w:rPr>
                      <w:rFonts w:eastAsiaTheme="minorHAnsi"/>
                    </w:rPr>
                    <w:t xml:space="preserve"> or </w:t>
                  </w:r>
                  <w:r w:rsidRPr="00563987">
                    <w:rPr>
                      <w:rFonts w:eastAsiaTheme="minorHAnsi"/>
                      <w:i/>
                      <w:iCs/>
                    </w:rPr>
                    <w:t>in-vitro</w:t>
                  </w:r>
                  <w:r w:rsidRPr="00563987">
                    <w:rPr>
                      <w:rFonts w:eastAsiaTheme="minorHAnsi"/>
                    </w:rPr>
                    <w:t xml:space="preserve"> test methods to demonstrate bioequivalence may be appropriate. Bioequivalence may sometimes be demonstrated using an </w:t>
                  </w:r>
                  <w:r w:rsidRPr="00563987">
                    <w:rPr>
                      <w:rFonts w:eastAsiaTheme="minorHAnsi"/>
                      <w:i/>
                      <w:iCs/>
                    </w:rPr>
                    <w:t>in-vitro</w:t>
                  </w:r>
                  <w:r w:rsidRPr="00563987">
                    <w:rPr>
                      <w:rFonts w:eastAsiaTheme="minorHAnsi"/>
                    </w:rPr>
                    <w:t xml:space="preserve"> bioequivalence standard, especially when such an </w:t>
                  </w:r>
                  <w:r w:rsidRPr="00563987">
                    <w:rPr>
                      <w:rFonts w:eastAsiaTheme="minorHAnsi"/>
                      <w:i/>
                      <w:iCs/>
                    </w:rPr>
                    <w:t>in-vitro</w:t>
                  </w:r>
                  <w:r w:rsidRPr="00563987">
                    <w:rPr>
                      <w:rFonts w:eastAsiaTheme="minorHAnsi"/>
                    </w:rPr>
                    <w:t xml:space="preserve"> test has been correlated with human </w:t>
                  </w:r>
                  <w:r w:rsidRPr="00563987">
                    <w:rPr>
                      <w:rFonts w:eastAsiaTheme="minorHAnsi"/>
                      <w:i/>
                      <w:iCs/>
                    </w:rPr>
                    <w:t>in-vivo</w:t>
                  </w:r>
                  <w:r w:rsidRPr="00563987">
                    <w:rPr>
                      <w:rFonts w:eastAsiaTheme="minorHAnsi"/>
                    </w:rPr>
                    <w:t xml:space="preserve"> bioavailability data. In other situations, bioequivalence may sometimes be demonstrated through comparative clinical trials or pharmacodynamic studies. </w:t>
                  </w:r>
                </w:p>
                <w:p w14:paraId="30A1D7D1" w14:textId="77777777" w:rsidR="00563987" w:rsidRPr="00563987" w:rsidRDefault="00563987" w:rsidP="00563987">
                  <w:pPr>
                    <w:rPr>
                      <w:rFonts w:eastAsiaTheme="minorHAnsi"/>
                    </w:rPr>
                  </w:pPr>
                  <w:r w:rsidRPr="00563987">
                    <w:rPr>
                      <w:rFonts w:eastAsiaTheme="minorHAnsi"/>
                    </w:rPr>
                    <w:t xml:space="preserve">Bioequivalent drug products may contain different inactive ingredients, provided the manufacturer identifies the differences and provides information that the differences do not affect the safety or efficacy of the product. </w:t>
                  </w:r>
                </w:p>
                <w:p w14:paraId="4BE12A71" w14:textId="1DBCB77A"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DF3F4D0" wp14:editId="5FF6E504">
                            <wp:extent cx="304800" cy="304800"/>
                            <wp:effectExtent l="0" t="0" r="0" b="0"/>
                            <wp:docPr id="813356762" name="Rectangl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032F1" id="Rectangle 1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Brand name</w:t>
                  </w:r>
                  <w:r w:rsidRPr="00563987">
                    <w:rPr>
                      <w:rFonts w:eastAsiaTheme="minorHAnsi"/>
                    </w:rPr>
                    <w:t>. The trade name of the drug. This name is privately owned by the manufacturer or distributor and is used to distinguish the specific drug product from competitor's products (</w:t>
                  </w:r>
                  <w:proofErr w:type="spellStart"/>
                  <w:r w:rsidRPr="00563987">
                    <w:rPr>
                      <w:rFonts w:eastAsiaTheme="minorHAnsi"/>
                    </w:rPr>
                    <w:t>eg</w:t>
                  </w:r>
                  <w:proofErr w:type="spellEnd"/>
                  <w:r w:rsidRPr="00563987">
                    <w:rPr>
                      <w:rFonts w:eastAsiaTheme="minorHAnsi"/>
                    </w:rPr>
                    <w:t xml:space="preserve">, Tylenol, McNeil Laboratories). </w:t>
                  </w:r>
                </w:p>
                <w:p w14:paraId="18260FC3" w14:textId="7545617F" w:rsidR="00563987" w:rsidRPr="00563987" w:rsidRDefault="00563987" w:rsidP="00563987">
                  <w:pPr>
                    <w:rPr>
                      <w:rFonts w:eastAsiaTheme="minorHAnsi"/>
                    </w:rPr>
                  </w:pPr>
                  <w:r w:rsidRPr="00563987">
                    <w:rPr>
                      <w:rFonts w:eastAsiaTheme="minorHAnsi"/>
                      <w:noProof/>
                    </w:rPr>
                    <w:lastRenderedPageBreak/>
                    <mc:AlternateContent>
                      <mc:Choice Requires="wps">
                        <w:drawing>
                          <wp:inline distT="0" distB="0" distL="0" distR="0" wp14:anchorId="630385CF" wp14:editId="6F5D9C62">
                            <wp:extent cx="304800" cy="304800"/>
                            <wp:effectExtent l="0" t="0" r="0" b="0"/>
                            <wp:docPr id="366627005" name="Rectangl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03B72" id="Rectangle 1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Chemical name</w:t>
                  </w:r>
                  <w:r w:rsidRPr="00563987">
                    <w:rPr>
                      <w:rFonts w:eastAsiaTheme="minorHAnsi"/>
                    </w:rPr>
                    <w:t>. The name used by organic chemists to indicate the chemical structure of the drug (</w:t>
                  </w:r>
                  <w:proofErr w:type="spellStart"/>
                  <w:r w:rsidRPr="00563987">
                    <w:rPr>
                      <w:rFonts w:eastAsiaTheme="minorHAnsi"/>
                    </w:rPr>
                    <w:t>eg</w:t>
                  </w:r>
                  <w:proofErr w:type="spellEnd"/>
                  <w:r w:rsidRPr="00563987">
                    <w:rPr>
                      <w:rFonts w:eastAsiaTheme="minorHAnsi"/>
                    </w:rPr>
                    <w:t>, N-acetyl-</w:t>
                  </w:r>
                  <w:r w:rsidRPr="00563987">
                    <w:rPr>
                      <w:rFonts w:eastAsiaTheme="minorHAnsi"/>
                      <w:i/>
                      <w:iCs/>
                    </w:rPr>
                    <w:t>p</w:t>
                  </w:r>
                  <w:r w:rsidRPr="00563987">
                    <w:rPr>
                      <w:rFonts w:eastAsiaTheme="minorHAnsi"/>
                    </w:rPr>
                    <w:t xml:space="preserve">-aminophenol). </w:t>
                  </w:r>
                </w:p>
                <w:p w14:paraId="07377619" w14:textId="4A70BF93"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9314386" wp14:editId="7A23CCB2">
                            <wp:extent cx="304800" cy="304800"/>
                            <wp:effectExtent l="0" t="0" r="0" b="0"/>
                            <wp:docPr id="892889657" name="Rectangl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84578" id="Rectangle 1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Abbreviated New Drug Application</w:t>
                  </w:r>
                  <w:r w:rsidRPr="00563987">
                    <w:rPr>
                      <w:rFonts w:eastAsiaTheme="minorHAnsi"/>
                    </w:rPr>
                    <w:t xml:space="preserve"> (ANDA). Drug manufacturers must file an ANDA for approval to market a generic drug product. The generic manufacturer is not required to perform clinical efficacy studies or nonclinical toxicology studies for the ANDA. </w:t>
                  </w:r>
                </w:p>
                <w:p w14:paraId="75BA50C8" w14:textId="2C34032D" w:rsidR="00563987" w:rsidRPr="00563987" w:rsidRDefault="00563987" w:rsidP="00563987">
                  <w:pPr>
                    <w:rPr>
                      <w:rFonts w:eastAsiaTheme="minorHAnsi"/>
                    </w:rPr>
                  </w:pPr>
                  <w:r w:rsidRPr="00563987">
                    <w:rPr>
                      <w:rFonts w:eastAsiaTheme="minorHAnsi"/>
                      <w:i/>
                      <w:iCs/>
                      <w:noProof/>
                    </w:rPr>
                    <mc:AlternateContent>
                      <mc:Choice Requires="wps">
                        <w:drawing>
                          <wp:inline distT="0" distB="0" distL="0" distR="0" wp14:anchorId="11F81FAF" wp14:editId="5F35C0D8">
                            <wp:extent cx="304800" cy="304800"/>
                            <wp:effectExtent l="0" t="0" r="0" b="0"/>
                            <wp:docPr id="538934229"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E8605" id="Rectangle 1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Drug product</w:t>
                  </w:r>
                  <w:r w:rsidRPr="00563987">
                    <w:rPr>
                      <w:rFonts w:eastAsiaTheme="minorHAnsi"/>
                    </w:rPr>
                    <w:t>. The finished dosage form (</w:t>
                  </w:r>
                  <w:proofErr w:type="spellStart"/>
                  <w:r w:rsidRPr="00563987">
                    <w:rPr>
                      <w:rFonts w:eastAsiaTheme="minorHAnsi"/>
                    </w:rPr>
                    <w:t>eg</w:t>
                  </w:r>
                  <w:proofErr w:type="spellEnd"/>
                  <w:r w:rsidRPr="00563987">
                    <w:rPr>
                      <w:rFonts w:eastAsiaTheme="minorHAnsi"/>
                    </w:rPr>
                    <w:t xml:space="preserve">, tablet, capsule, or solution) that contains the active drug ingredient, generally, but not necessarily, in association with inactive ingredients. </w:t>
                  </w:r>
                </w:p>
                <w:p w14:paraId="07B9EF3D" w14:textId="7106CF8B"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76E4324B" wp14:editId="54F5B3FD">
                            <wp:extent cx="304800" cy="304800"/>
                            <wp:effectExtent l="0" t="0" r="0" b="0"/>
                            <wp:docPr id="1841257835"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F5A92" id="Rectangle 1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Drug product selection</w:t>
                  </w:r>
                  <w:r w:rsidRPr="00563987">
                    <w:rPr>
                      <w:rFonts w:eastAsiaTheme="minorHAnsi"/>
                    </w:rPr>
                    <w:t xml:space="preserve">. The process of choosing or selecting the drug product in a specified dosage form. </w:t>
                  </w:r>
                </w:p>
                <w:p w14:paraId="031B9DE7" w14:textId="6B3F6BC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B6A7084" wp14:editId="1FB12E06">
                            <wp:extent cx="304800" cy="304800"/>
                            <wp:effectExtent l="0" t="0" r="0" b="0"/>
                            <wp:docPr id="2033412043"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FAD2E" id="Rectangle 1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Drug substance</w:t>
                  </w:r>
                  <w:r w:rsidRPr="00563987">
                    <w:rPr>
                      <w:rFonts w:eastAsiaTheme="minorHAnsi"/>
                    </w:rPr>
                    <w:t xml:space="preserve">. A drug substance is the active pharmaceutical ingredient (API) or component in the drug product that furnishes the pharmacodynamic activity. </w:t>
                  </w:r>
                </w:p>
                <w:p w14:paraId="558556DF" w14:textId="0C81518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D6B48CD" wp14:editId="0438A792">
                            <wp:extent cx="304800" cy="304800"/>
                            <wp:effectExtent l="0" t="0" r="0" b="0"/>
                            <wp:docPr id="1156277600"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4E6A7" id="Rectangle 1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Equivalence</w:t>
                  </w:r>
                  <w:r w:rsidRPr="00563987">
                    <w:rPr>
                      <w:rFonts w:eastAsiaTheme="minorHAnsi"/>
                    </w:rPr>
                    <w:t xml:space="preserve">. Relationship in terms of bioavailability, therapeutic response, or a set of established standards of one drug product to another. </w:t>
                  </w:r>
                </w:p>
                <w:p w14:paraId="77628C71" w14:textId="68C48162"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7D4B9F1" wp14:editId="4C07F811">
                            <wp:extent cx="304800" cy="304800"/>
                            <wp:effectExtent l="0" t="0" r="0" b="0"/>
                            <wp:docPr id="652647874"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04B93" id="Rectangle 1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Generic name</w:t>
                  </w:r>
                  <w:r w:rsidRPr="00563987">
                    <w:rPr>
                      <w:rFonts w:eastAsiaTheme="minorHAnsi"/>
                    </w:rPr>
                    <w:t>. The established, nonproprietary, or common name of the active drug in a drug product (</w:t>
                  </w:r>
                  <w:proofErr w:type="spellStart"/>
                  <w:r w:rsidRPr="00563987">
                    <w:rPr>
                      <w:rFonts w:eastAsiaTheme="minorHAnsi"/>
                    </w:rPr>
                    <w:t>eg</w:t>
                  </w:r>
                  <w:proofErr w:type="spellEnd"/>
                  <w:r w:rsidRPr="00563987">
                    <w:rPr>
                      <w:rFonts w:eastAsiaTheme="minorHAnsi"/>
                    </w:rPr>
                    <w:t xml:space="preserve">, acetaminophen). </w:t>
                  </w:r>
                </w:p>
                <w:p w14:paraId="1AB2BD52" w14:textId="4836FF2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6EE0163" wp14:editId="38EF1CF7">
                            <wp:extent cx="304800" cy="304800"/>
                            <wp:effectExtent l="0" t="0" r="0" b="0"/>
                            <wp:docPr id="1968872761"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88D1A" id="Rectangle 1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Generic substitution</w:t>
                  </w:r>
                  <w:r w:rsidRPr="00563987">
                    <w:rPr>
                      <w:rFonts w:eastAsiaTheme="minorHAnsi"/>
                    </w:rPr>
                    <w:t xml:space="preserve">. The process of dispensing a different brand or an unbranded drug product in place of the prescribed drug product. The substituted drug product contains the same active ingredient or therapeutic moiety as the same salt or ester in the same dosage form but is made by a different manufacturer. For example, a prescription for Motrin brand of ibuprofen might be dispensed by the pharmacist as Advil brand of ibuprofen or as a nonbranded generic ibuprofen if generic substitution is permitted and desired by the physician. </w:t>
                  </w:r>
                </w:p>
                <w:p w14:paraId="5615A66A" w14:textId="5EC84B4F"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73B7D43B" wp14:editId="11901026">
                            <wp:extent cx="304800" cy="304800"/>
                            <wp:effectExtent l="0" t="0" r="0" b="0"/>
                            <wp:docPr id="1129722381"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BF94E" id="Rectangle 1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Pharmaceutical alternatives</w:t>
                  </w:r>
                  <w:r w:rsidRPr="00563987">
                    <w:rPr>
                      <w:rFonts w:eastAsiaTheme="minorHAnsi"/>
                    </w:rPr>
                    <w:t>. Drug products that contain the same therapeutic moiety but as different salts, esters, or complexes. For example, tetracycline phosphate or tetracycline hydrochloride equivalent to 250 mg tetracycline base are considered pharmaceutical alternatives. Different dosage forms and strengths within a product line by a single manufacturer are pharmaceutical alternatives (</w:t>
                  </w:r>
                  <w:proofErr w:type="spellStart"/>
                  <w:r w:rsidRPr="00563987">
                    <w:rPr>
                      <w:rFonts w:eastAsiaTheme="minorHAnsi"/>
                    </w:rPr>
                    <w:t>eg</w:t>
                  </w:r>
                  <w:proofErr w:type="spellEnd"/>
                  <w:r w:rsidRPr="00563987">
                    <w:rPr>
                      <w:rFonts w:eastAsiaTheme="minorHAnsi"/>
                    </w:rPr>
                    <w:t xml:space="preserve">, an extended-release dosage form and a standard immediate-release dosage form of the same active ingredient). The FDA currently considers a tablet and capsule containing the same active ingredient in the same dosage strength as pharmaceutical alternatives. </w:t>
                  </w:r>
                </w:p>
                <w:p w14:paraId="179E101E" w14:textId="1EA6985B"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E55CE25" wp14:editId="6F5157EA">
                            <wp:extent cx="304800" cy="304800"/>
                            <wp:effectExtent l="0" t="0" r="0" b="0"/>
                            <wp:docPr id="1467319526"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E911C" id="Rectangle 1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Pharmaceutical equivalents</w:t>
                  </w:r>
                  <w:r w:rsidRPr="00563987">
                    <w:rPr>
                      <w:rFonts w:eastAsiaTheme="minorHAnsi"/>
                    </w:rPr>
                    <w:t xml:space="preserve">. Drug products in identical dosage forms that contain the same active ingredient(s), </w:t>
                  </w:r>
                  <w:proofErr w:type="spellStart"/>
                  <w:r w:rsidRPr="00563987">
                    <w:rPr>
                      <w:rFonts w:eastAsiaTheme="minorHAnsi"/>
                    </w:rPr>
                    <w:t>ie</w:t>
                  </w:r>
                  <w:proofErr w:type="spellEnd"/>
                  <w:r w:rsidRPr="00563987">
                    <w:rPr>
                      <w:rFonts w:eastAsiaTheme="minorHAnsi"/>
                    </w:rPr>
                    <w:t>, the same salt or ester, are of the same dosage form, use the same route of administration, and are identical in strength or concentration (</w:t>
                  </w:r>
                  <w:proofErr w:type="spellStart"/>
                  <w:r w:rsidRPr="00563987">
                    <w:rPr>
                      <w:rFonts w:eastAsiaTheme="minorHAnsi"/>
                    </w:rPr>
                    <w:t>eg</w:t>
                  </w:r>
                  <w:proofErr w:type="spellEnd"/>
                  <w:r w:rsidRPr="00563987">
                    <w:rPr>
                      <w:rFonts w:eastAsiaTheme="minorHAnsi"/>
                    </w:rPr>
                    <w:t>, chlordiazepoxide hydrochloride, 5-mg capsules). Pharmaceutically equivalent drug products are formulated to contain the same amount of active ingredient in the same dosage form and to meet the same or compendial or other applicable standards (</w:t>
                  </w:r>
                  <w:proofErr w:type="spellStart"/>
                  <w:r w:rsidRPr="00563987">
                    <w:rPr>
                      <w:rFonts w:eastAsiaTheme="minorHAnsi"/>
                    </w:rPr>
                    <w:t>ie</w:t>
                  </w:r>
                  <w:proofErr w:type="spellEnd"/>
                  <w:r w:rsidRPr="00563987">
                    <w:rPr>
                      <w:rFonts w:eastAsiaTheme="minorHAnsi"/>
                    </w:rPr>
                    <w:t xml:space="preserve">, strength, quality, purity, and identity), but they may differ in characteristics such as shape, scoring configuration, release mechanisms, packaging, excipients (including colors, flavors, preservatives), expiration time, and, within certain limits, labeling. When applicable, pharmaceutical equivalents must meet the same content uniformity, disintegration times, and/or dissolution rates. Modified-release dosage forms that require a reservoir or overage or certain dosage forms such as prefilled syringes in which residual volume may vary must deliver identical amounts of active drug ingredient over an identical dosing period. </w:t>
                  </w:r>
                </w:p>
                <w:p w14:paraId="25DD200C" w14:textId="19D8F709"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CD2653D" wp14:editId="4671E131">
                            <wp:extent cx="304800" cy="304800"/>
                            <wp:effectExtent l="0" t="0" r="0" b="0"/>
                            <wp:docPr id="1496230356"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5D75E" id="Rectangle 1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Pharmaceutical substitution</w:t>
                  </w:r>
                  <w:r w:rsidRPr="00563987">
                    <w:rPr>
                      <w:rFonts w:eastAsiaTheme="minorHAnsi"/>
                    </w:rPr>
                    <w:t xml:space="preserve">. The process of dispensing a pharmaceutical alternative for the prescribed drug product. For example, ampicillin suspension is dispensed in place of ampicillin capsules, or tetracycline hydrochloride is dispensed in place of tetracycline phosphate. Pharmaceutical substitution generally requires the physician's approval. </w:t>
                  </w:r>
                </w:p>
                <w:p w14:paraId="2F233B56" w14:textId="64925165"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5E82C27B" wp14:editId="352EEEF7">
                            <wp:extent cx="304800" cy="304800"/>
                            <wp:effectExtent l="0" t="0" r="0" b="0"/>
                            <wp:docPr id="811584721"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0B7A4" id="Rectangle 1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Reference listed drug</w:t>
                  </w:r>
                  <w:r w:rsidRPr="00563987">
                    <w:rPr>
                      <w:rFonts w:eastAsiaTheme="minorHAnsi"/>
                    </w:rPr>
                    <w:t xml:space="preserve">. The reference listed drug (RLD) is identified by the FDA as the drug product on which an applicant relies when seeking approval of an Abbreviated New Drug Application (ANDA). The RLD is generally the brand-name drug that has a full New Drug Application (NDA). The FDA designates a single reference listed drug as the standard to which all generic versions must be shown to be bioequivalent. The FDA hopes to avoid possible significant variations among generic drugs and their brand-name counterparts. Such variations could result if generic drugs were compared to different reference listed drugs. </w:t>
                  </w:r>
                </w:p>
                <w:p w14:paraId="75A816F3" w14:textId="71CCF1FB" w:rsidR="00563987" w:rsidRPr="00563987" w:rsidRDefault="00563987" w:rsidP="00563987">
                  <w:pPr>
                    <w:rPr>
                      <w:rFonts w:eastAsiaTheme="minorHAnsi"/>
                    </w:rPr>
                  </w:pPr>
                  <w:r w:rsidRPr="00563987">
                    <w:rPr>
                      <w:rFonts w:eastAsiaTheme="minorHAnsi"/>
                      <w:noProof/>
                    </w:rPr>
                    <w:lastRenderedPageBreak/>
                    <mc:AlternateContent>
                      <mc:Choice Requires="wps">
                        <w:drawing>
                          <wp:inline distT="0" distB="0" distL="0" distR="0" wp14:anchorId="596BC31F" wp14:editId="23042A06">
                            <wp:extent cx="304800" cy="304800"/>
                            <wp:effectExtent l="0" t="0" r="0" b="0"/>
                            <wp:docPr id="2125475382"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5BB34" id="Rectangle 1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Therapeutic alternatives</w:t>
                  </w:r>
                  <w:r w:rsidRPr="00563987">
                    <w:rPr>
                      <w:rFonts w:eastAsiaTheme="minorHAnsi"/>
                    </w:rPr>
                    <w:t xml:space="preserve">. Drug products containing different active ingredients that are indicated for the same therapeutic or clinical objectives. Active ingredients in therapeutic alternatives are from the same pharmacologic class and are expected to have the same therapeutic effect when administered to patients for such condition of use. For example, ibuprofen is given instead of aspirin; cimetidine may be given instead of ranitidine. </w:t>
                  </w:r>
                </w:p>
                <w:p w14:paraId="4C8557C5" w14:textId="0315E90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6295F52" wp14:editId="4353DB6E">
                            <wp:extent cx="304800" cy="304800"/>
                            <wp:effectExtent l="0" t="0" r="0" b="0"/>
                            <wp:docPr id="1451912910"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01CA4" id="Rectangle 1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Therapeutic equivalents</w:t>
                  </w:r>
                  <w:r w:rsidRPr="00563987">
                    <w:rPr>
                      <w:rFonts w:eastAsiaTheme="minorHAnsi"/>
                    </w:rPr>
                    <w:t xml:space="preserve">. Drug products are considered to be therapeutic equivalents only if they are pharmaceutical equivalents and if they can be expected to have the same clinical effect and safety profile when administered to patients under the conditions specified in the labeling. The FDA classifies as therapeutically equivalent those products that meet the following general criteria: (1) they are approved as safe and effective; (2) they are pharmaceutical equivalents in that they (a) contain identical amounts of the same active drug ingredient in the same dosage form and route of administration, and (b) meet compendial or other applicable standards of strength, quality, purity, and identity; (3) they are bioequivalent in that (a) they do not present a known or potential bioequivalence problem, and they meet an acceptable </w:t>
                  </w:r>
                  <w:r w:rsidRPr="00563987">
                    <w:rPr>
                      <w:rFonts w:eastAsiaTheme="minorHAnsi"/>
                      <w:i/>
                      <w:iCs/>
                    </w:rPr>
                    <w:t>in-vitro</w:t>
                  </w:r>
                  <w:r w:rsidRPr="00563987">
                    <w:rPr>
                      <w:rFonts w:eastAsiaTheme="minorHAnsi"/>
                    </w:rPr>
                    <w:t xml:space="preserve"> standard, or (b) if they do present such a known or potential problem, they are shown to meet an appropriate bioequivalence standard; (4) they are adequately labeled; and (5) they are manufactured in compliance with Current Good Manufacturing Practice regulations. The FDA believes that products classified as therapeutically equivalent can be substituted with the full expectation that the substituted product will produce the same clinical effect and safety profile as the prescribed product. </w:t>
                  </w:r>
                </w:p>
                <w:p w14:paraId="32850532" w14:textId="011C9ED9"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C3A8536" wp14:editId="551E2920">
                            <wp:extent cx="304800" cy="304800"/>
                            <wp:effectExtent l="0" t="0" r="0" b="0"/>
                            <wp:docPr id="1768658815"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C6215" id="Rectangle 1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i/>
                      <w:iCs/>
                    </w:rPr>
                    <w:t>Therapeutic substitution</w:t>
                  </w:r>
                  <w:r w:rsidRPr="00563987">
                    <w:rPr>
                      <w:rFonts w:eastAsiaTheme="minorHAnsi"/>
                    </w:rPr>
                    <w:t xml:space="preserve">. The process of dispensing a therapeutic alternative in place of the prescribed drug product. For example, amoxicillin is dispensed instead of ampicillin or ibuprofen is dispensed instead of naproxen. Therapeutic substitution can also occur when one NDA-approved drug is substituted for the same drug which has been approved by a different NDA, </w:t>
                  </w:r>
                  <w:proofErr w:type="spellStart"/>
                  <w:r w:rsidRPr="00563987">
                    <w:rPr>
                      <w:rFonts w:eastAsiaTheme="minorHAnsi"/>
                    </w:rPr>
                    <w:t>eg</w:t>
                  </w:r>
                  <w:proofErr w:type="spellEnd"/>
                  <w:r w:rsidRPr="00563987">
                    <w:rPr>
                      <w:rFonts w:eastAsiaTheme="minorHAnsi"/>
                    </w:rPr>
                    <w:t xml:space="preserve">, the substitution of </w:t>
                  </w:r>
                  <w:proofErr w:type="spellStart"/>
                  <w:r w:rsidRPr="00563987">
                    <w:rPr>
                      <w:rFonts w:eastAsiaTheme="minorHAnsi"/>
                    </w:rPr>
                    <w:t>Nicoderm</w:t>
                  </w:r>
                  <w:proofErr w:type="spellEnd"/>
                  <w:r w:rsidRPr="00563987">
                    <w:rPr>
                      <w:rFonts w:eastAsiaTheme="minorHAnsi"/>
                    </w:rPr>
                    <w:t xml:space="preserve"> (nicotine transdermal system) for </w:t>
                  </w:r>
                  <w:proofErr w:type="spellStart"/>
                  <w:r w:rsidRPr="00563987">
                    <w:rPr>
                      <w:rFonts w:eastAsiaTheme="minorHAnsi"/>
                    </w:rPr>
                    <w:t>Nicotrol</w:t>
                  </w:r>
                  <w:proofErr w:type="spellEnd"/>
                  <w:r w:rsidRPr="00563987">
                    <w:rPr>
                      <w:rFonts w:eastAsiaTheme="minorHAnsi"/>
                    </w:rPr>
                    <w:t xml:space="preserve"> (nicotine transdermal system).</w:t>
                  </w:r>
                </w:p>
              </w:tc>
            </w:tr>
          </w:tbl>
          <w:p w14:paraId="104F80CA" w14:textId="77777777" w:rsidR="00563987" w:rsidRPr="00563987" w:rsidRDefault="00563987" w:rsidP="00563987">
            <w:pPr>
              <w:rPr>
                <w:rFonts w:eastAsiaTheme="minorHAnsi"/>
                <w:vanish/>
              </w:rPr>
            </w:pPr>
            <w:bookmarkStart w:id="4" w:name="2481638"/>
            <w:bookmarkEnd w:id="4"/>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415D42B8" w14:textId="77777777">
              <w:trPr>
                <w:tblCellSpacing w:w="0" w:type="dxa"/>
              </w:trPr>
              <w:tc>
                <w:tcPr>
                  <w:tcW w:w="0" w:type="auto"/>
                  <w:shd w:val="clear" w:color="auto" w:fill="FFFFFF"/>
                  <w:hideMark/>
                </w:tcPr>
                <w:p w14:paraId="550C7CD4" w14:textId="77777777" w:rsidR="00563987" w:rsidRPr="00563987" w:rsidRDefault="00563987" w:rsidP="00563987">
                  <w:pPr>
                    <w:rPr>
                      <w:rFonts w:eastAsiaTheme="minorHAnsi"/>
                    </w:rPr>
                  </w:pPr>
                  <w:r w:rsidRPr="00563987">
                    <w:rPr>
                      <w:rFonts w:eastAsiaTheme="minorHAnsi"/>
                    </w:rPr>
                    <w:t>Purpose of Bioavailability Studies</w:t>
                  </w:r>
                </w:p>
                <w:p w14:paraId="5B1DBABD" w14:textId="77777777" w:rsidR="00563987" w:rsidRPr="00563987" w:rsidRDefault="00563987" w:rsidP="00563987">
                  <w:pPr>
                    <w:rPr>
                      <w:rFonts w:eastAsiaTheme="minorHAnsi"/>
                    </w:rPr>
                  </w:pPr>
                  <w:bookmarkStart w:id="5" w:name="2481639"/>
                  <w:bookmarkEnd w:id="5"/>
                  <w:r w:rsidRPr="00563987">
                    <w:rPr>
                      <w:rFonts w:eastAsiaTheme="minorHAnsi"/>
                    </w:rPr>
                    <w:t>Bioavailability studies are performed for both approved active drug ingredients and therapeutic moieties not yet approved for marketing by the FDA. New formulations of active drug ingredients must be approved by the FDA before marketing. In approving a drug product for marketing, the FDA ensures that the drug product is safe and effective for its labeled indications for use. Moreover, the drug product must meet all applicable standards of identity, strength, quality, and purity. To ensure that these standards are met, the FDA requires bioavailability/pharmacokinetic studies and, where necessary, bioequivalence studies for all drug products (</w:t>
                  </w:r>
                  <w:r w:rsidRPr="00563987">
                    <w:rPr>
                      <w:rFonts w:eastAsiaTheme="minorHAnsi"/>
                      <w:i/>
                      <w:iCs/>
                    </w:rPr>
                    <w:t>FDA Guidance for Industry,</w:t>
                  </w:r>
                  <w:r w:rsidRPr="00563987">
                    <w:rPr>
                      <w:rFonts w:eastAsiaTheme="minorHAnsi"/>
                    </w:rPr>
                    <w:t xml:space="preserve"> 2003). Bioavailability may be considered as one aspect of drug product quality that links </w:t>
                  </w:r>
                  <w:r w:rsidRPr="00563987">
                    <w:rPr>
                      <w:rFonts w:eastAsiaTheme="minorHAnsi"/>
                      <w:i/>
                      <w:iCs/>
                    </w:rPr>
                    <w:t>in-vivo</w:t>
                  </w:r>
                  <w:r w:rsidRPr="00563987">
                    <w:rPr>
                      <w:rFonts w:eastAsiaTheme="minorHAnsi"/>
                    </w:rPr>
                    <w:t xml:space="preserve"> performance of the drug product used in clinical trials to studies demonstrating evidence of safety and efficacy.</w:t>
                  </w:r>
                </w:p>
                <w:p w14:paraId="1E91C9D1" w14:textId="77777777" w:rsidR="00563987" w:rsidRPr="00563987" w:rsidRDefault="00563987" w:rsidP="00563987">
                  <w:pPr>
                    <w:rPr>
                      <w:rFonts w:eastAsiaTheme="minorHAnsi"/>
                    </w:rPr>
                  </w:pPr>
                  <w:bookmarkStart w:id="6" w:name="2481640"/>
                  <w:bookmarkEnd w:id="6"/>
                  <w:r w:rsidRPr="00563987">
                    <w:rPr>
                      <w:rFonts w:eastAsiaTheme="minorHAnsi"/>
                    </w:rPr>
                    <w:t xml:space="preserve">For </w:t>
                  </w:r>
                  <w:proofErr w:type="spellStart"/>
                  <w:r w:rsidRPr="00563987">
                    <w:rPr>
                      <w:rFonts w:eastAsiaTheme="minorHAnsi"/>
                    </w:rPr>
                    <w:t>unmarketed</w:t>
                  </w:r>
                  <w:proofErr w:type="spellEnd"/>
                  <w:r w:rsidRPr="00563987">
                    <w:rPr>
                      <w:rFonts w:eastAsiaTheme="minorHAnsi"/>
                    </w:rPr>
                    <w:t xml:space="preserve"> drugs that do not have full NDA approval by the FDA, </w:t>
                  </w:r>
                  <w:r w:rsidRPr="00563987">
                    <w:rPr>
                      <w:rFonts w:eastAsiaTheme="minorHAnsi"/>
                      <w:i/>
                      <w:iCs/>
                    </w:rPr>
                    <w:t>in</w:t>
                  </w:r>
                  <w:r w:rsidRPr="00563987">
                    <w:rPr>
                      <w:rFonts w:eastAsiaTheme="minorHAnsi"/>
                    </w:rPr>
                    <w:t>-</w:t>
                  </w:r>
                  <w:r w:rsidRPr="00563987">
                    <w:rPr>
                      <w:rFonts w:eastAsiaTheme="minorHAnsi"/>
                      <w:i/>
                      <w:iCs/>
                    </w:rPr>
                    <w:t>vitro</w:t>
                  </w:r>
                  <w:r w:rsidRPr="00563987">
                    <w:rPr>
                      <w:rFonts w:eastAsiaTheme="minorHAnsi"/>
                    </w:rPr>
                    <w:t xml:space="preserve"> and/or </w:t>
                  </w:r>
                  <w:r w:rsidRPr="00563987">
                    <w:rPr>
                      <w:rFonts w:eastAsiaTheme="minorHAnsi"/>
                      <w:i/>
                      <w:iCs/>
                    </w:rPr>
                    <w:t>in-vivo</w:t>
                  </w:r>
                  <w:r w:rsidRPr="00563987">
                    <w:rPr>
                      <w:rFonts w:eastAsiaTheme="minorHAnsi"/>
                    </w:rPr>
                    <w:t xml:space="preserve"> bioequivalence studies must be performed on the drug formulation proposed for marketing as a generic drug product. Furthermore, the essential pharmacokinetics of the active drug ingredient or therapeutic moiety must be characterized. Essential pharmacokinetic parameters, including the rate and extent of systemic absorption, elimination half-life, and rates of excretion and metabolism, should be established after single- and multiple-dose administration. Data from these </w:t>
                  </w:r>
                  <w:r w:rsidRPr="00563987">
                    <w:rPr>
                      <w:rFonts w:eastAsiaTheme="minorHAnsi"/>
                      <w:i/>
                      <w:iCs/>
                    </w:rPr>
                    <w:t>in-vivo</w:t>
                  </w:r>
                  <w:r w:rsidRPr="00563987">
                    <w:rPr>
                      <w:rFonts w:eastAsiaTheme="minorHAnsi"/>
                    </w:rPr>
                    <w:t xml:space="preserve"> bioavailability studies are important to establish recommended dosage regimens and to support drug labeling.</w:t>
                  </w:r>
                </w:p>
                <w:p w14:paraId="59F812A4" w14:textId="77777777" w:rsidR="00563987" w:rsidRPr="00563987" w:rsidRDefault="00563987" w:rsidP="00563987">
                  <w:pPr>
                    <w:rPr>
                      <w:rFonts w:eastAsiaTheme="minorHAnsi"/>
                    </w:rPr>
                  </w:pPr>
                  <w:bookmarkStart w:id="7" w:name="2481641"/>
                  <w:bookmarkEnd w:id="7"/>
                  <w:r w:rsidRPr="00563987">
                    <w:rPr>
                      <w:rFonts w:eastAsiaTheme="minorHAnsi"/>
                      <w:i/>
                      <w:iCs/>
                    </w:rPr>
                    <w:t>In-vivo</w:t>
                  </w:r>
                  <w:r w:rsidRPr="00563987">
                    <w:rPr>
                      <w:rFonts w:eastAsiaTheme="minorHAnsi"/>
                    </w:rPr>
                    <w:t xml:space="preserve"> bioavailability studies are also performed for new formulations of active drug ingredients or therapeutic moieties that have full NDA approval and are approved for marketing. The purpose of these studies is to determine the bioavailability and to characterize the pharmacokinetics of the new formulation, new dosage form, or new salt or ester relative to a reference formulation.</w:t>
                  </w:r>
                </w:p>
                <w:p w14:paraId="1CF014DE" w14:textId="77777777" w:rsidR="00563987" w:rsidRPr="00563987" w:rsidRDefault="00563987" w:rsidP="00563987">
                  <w:pPr>
                    <w:rPr>
                      <w:rFonts w:eastAsiaTheme="minorHAnsi"/>
                    </w:rPr>
                  </w:pPr>
                  <w:bookmarkStart w:id="8" w:name="2481642"/>
                  <w:bookmarkEnd w:id="8"/>
                  <w:r w:rsidRPr="00563987">
                    <w:rPr>
                      <w:rFonts w:eastAsiaTheme="minorHAnsi"/>
                    </w:rPr>
                    <w:t xml:space="preserve">In summary, clinical studies are useful in determining the safety and efficacy of drug products. </w:t>
                  </w:r>
                  <w:r w:rsidRPr="00563987">
                    <w:rPr>
                      <w:rFonts w:eastAsiaTheme="minorHAnsi"/>
                      <w:i/>
                      <w:iCs/>
                    </w:rPr>
                    <w:t>Bioavailability</w:t>
                  </w:r>
                  <w:r w:rsidRPr="00563987">
                    <w:rPr>
                      <w:rFonts w:eastAsiaTheme="minorHAnsi"/>
                    </w:rPr>
                    <w:t xml:space="preserve"> studies are used to define the effect of changes in the physicochemical properties of the drug substance and the effect of the drug product (dosage form) on the pharmacokinetics of the drug. </w:t>
                  </w:r>
                  <w:r w:rsidRPr="00563987">
                    <w:rPr>
                      <w:rFonts w:eastAsiaTheme="minorHAnsi"/>
                      <w:i/>
                      <w:iCs/>
                    </w:rPr>
                    <w:t>Bioequivalence</w:t>
                  </w:r>
                  <w:r w:rsidRPr="00563987">
                    <w:rPr>
                      <w:rFonts w:eastAsiaTheme="minorHAnsi"/>
                    </w:rPr>
                    <w:t xml:space="preserve"> studies are used to compare the bioavailability of the same drug (same salt or ester) from various drug products. Bioavailability and bioequivalence can also be considered as performance measures of the drug product </w:t>
                  </w:r>
                  <w:r w:rsidRPr="00563987">
                    <w:rPr>
                      <w:rFonts w:eastAsiaTheme="minorHAnsi"/>
                      <w:i/>
                      <w:iCs/>
                    </w:rPr>
                    <w:t>in-vivo</w:t>
                  </w:r>
                  <w:r w:rsidRPr="00563987">
                    <w:rPr>
                      <w:rFonts w:eastAsiaTheme="minorHAnsi"/>
                    </w:rPr>
                    <w:t>. If the drug products are bioequivalent and therapeutically equivalent (as defined above), then the clinical efficacy and the safety profile of these drug products are assumed to be similar and may be substituted for each other.</w:t>
                  </w:r>
                </w:p>
              </w:tc>
            </w:tr>
          </w:tbl>
          <w:p w14:paraId="31D55DEB" w14:textId="77777777" w:rsidR="00563987" w:rsidRPr="00563987" w:rsidRDefault="00563987" w:rsidP="00563987">
            <w:pPr>
              <w:rPr>
                <w:rFonts w:eastAsiaTheme="minorHAnsi"/>
                <w:vanish/>
              </w:rPr>
            </w:pPr>
            <w:bookmarkStart w:id="9" w:name="2481643"/>
            <w:bookmarkEnd w:id="9"/>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304BD9BF" w14:textId="77777777">
              <w:trPr>
                <w:tblCellSpacing w:w="0" w:type="dxa"/>
              </w:trPr>
              <w:tc>
                <w:tcPr>
                  <w:tcW w:w="0" w:type="auto"/>
                  <w:shd w:val="clear" w:color="auto" w:fill="FFFFFF"/>
                  <w:hideMark/>
                </w:tcPr>
                <w:p w14:paraId="6180C860" w14:textId="77777777" w:rsidR="00563987" w:rsidRPr="00563987" w:rsidRDefault="00563987" w:rsidP="00563987">
                  <w:pPr>
                    <w:rPr>
                      <w:rFonts w:eastAsiaTheme="minorHAnsi"/>
                    </w:rPr>
                  </w:pPr>
                  <w:r w:rsidRPr="00563987">
                    <w:rPr>
                      <w:rFonts w:eastAsiaTheme="minorHAnsi"/>
                    </w:rPr>
                    <w:t>Relative and Absolute Availability</w:t>
                  </w:r>
                </w:p>
                <w:p w14:paraId="2493FA12" w14:textId="77777777" w:rsidR="00563987" w:rsidRPr="00563987" w:rsidRDefault="00563987" w:rsidP="00563987">
                  <w:pPr>
                    <w:rPr>
                      <w:rFonts w:eastAsiaTheme="minorHAnsi"/>
                    </w:rPr>
                  </w:pPr>
                  <w:bookmarkStart w:id="10" w:name="2481644"/>
                  <w:bookmarkEnd w:id="10"/>
                  <w:r w:rsidRPr="00563987">
                    <w:rPr>
                      <w:rFonts w:eastAsiaTheme="minorHAnsi"/>
                    </w:rPr>
                    <w:t xml:space="preserve">The area under the drug concentration–time curve (AUC) is used as a measure of the total amount of unaltered drug that reaches the systemic circulation. The AUC is dependent on the total quantity of available drug, </w:t>
                  </w:r>
                  <w:r w:rsidRPr="00563987">
                    <w:rPr>
                      <w:rFonts w:eastAsiaTheme="minorHAnsi"/>
                      <w:i/>
                      <w:iCs/>
                    </w:rPr>
                    <w:t>FD</w:t>
                  </w:r>
                  <w:r w:rsidRPr="00563987">
                    <w:rPr>
                      <w:rFonts w:eastAsiaTheme="minorHAnsi"/>
                    </w:rPr>
                    <w:t xml:space="preserve"> </w:t>
                  </w:r>
                  <w:r w:rsidRPr="00563987">
                    <w:rPr>
                      <w:rFonts w:eastAsiaTheme="minorHAnsi"/>
                      <w:vertAlign w:val="subscript"/>
                    </w:rPr>
                    <w:t>0</w:t>
                  </w:r>
                  <w:r w:rsidRPr="00563987">
                    <w:rPr>
                      <w:rFonts w:eastAsiaTheme="minorHAnsi"/>
                    </w:rPr>
                    <w:t xml:space="preserve">, divided by the elimination rate constant, </w:t>
                  </w:r>
                  <w:r w:rsidRPr="00563987">
                    <w:rPr>
                      <w:rFonts w:eastAsiaTheme="minorHAnsi"/>
                      <w:i/>
                      <w:iCs/>
                    </w:rPr>
                    <w:t>k</w:t>
                  </w:r>
                  <w:r w:rsidRPr="00563987">
                    <w:rPr>
                      <w:rFonts w:eastAsiaTheme="minorHAnsi"/>
                    </w:rPr>
                    <w:t xml:space="preserve">, and the apparent volume of distribution, </w:t>
                  </w:r>
                  <w:r w:rsidRPr="00563987">
                    <w:rPr>
                      <w:rFonts w:eastAsiaTheme="minorHAnsi"/>
                      <w:i/>
                      <w:iCs/>
                    </w:rPr>
                    <w:t>V</w:t>
                  </w:r>
                  <w:r w:rsidRPr="00563987">
                    <w:rPr>
                      <w:rFonts w:eastAsiaTheme="minorHAnsi"/>
                    </w:rPr>
                    <w:t xml:space="preserve"> </w:t>
                  </w:r>
                  <w:r w:rsidRPr="00563987">
                    <w:rPr>
                      <w:rFonts w:eastAsiaTheme="minorHAnsi"/>
                      <w:vertAlign w:val="subscript"/>
                    </w:rPr>
                    <w:t>D</w:t>
                  </w:r>
                  <w:r w:rsidRPr="00563987">
                    <w:rPr>
                      <w:rFonts w:eastAsiaTheme="minorHAnsi"/>
                    </w:rPr>
                    <w:t xml:space="preserve">. </w:t>
                  </w:r>
                  <w:r w:rsidRPr="00563987">
                    <w:rPr>
                      <w:rFonts w:eastAsiaTheme="minorHAnsi"/>
                      <w:i/>
                      <w:iCs/>
                    </w:rPr>
                    <w:t>F</w:t>
                  </w:r>
                  <w:r w:rsidRPr="00563987">
                    <w:rPr>
                      <w:rFonts w:eastAsiaTheme="minorHAnsi"/>
                    </w:rPr>
                    <w:t xml:space="preserve"> is the fraction of the dose absorbed. After IV administration, </w:t>
                  </w:r>
                  <w:r w:rsidRPr="00563987">
                    <w:rPr>
                      <w:rFonts w:eastAsiaTheme="minorHAnsi"/>
                      <w:i/>
                      <w:iCs/>
                    </w:rPr>
                    <w:t>F</w:t>
                  </w:r>
                  <w:r w:rsidRPr="00563987">
                    <w:rPr>
                      <w:rFonts w:eastAsiaTheme="minorHAnsi"/>
                    </w:rPr>
                    <w:t xml:space="preserve"> is equal to unity, because the entire dose enters the systemic circulation. Therefore, the drug is considered to be completely available after IV administration. After oral administration of a drug, </w:t>
                  </w:r>
                  <w:r w:rsidRPr="00563987">
                    <w:rPr>
                      <w:rFonts w:eastAsiaTheme="minorHAnsi"/>
                      <w:i/>
                      <w:iCs/>
                    </w:rPr>
                    <w:t>F</w:t>
                  </w:r>
                  <w:r w:rsidRPr="00563987">
                    <w:rPr>
                      <w:rFonts w:eastAsiaTheme="minorHAnsi"/>
                    </w:rPr>
                    <w:t xml:space="preserve"> may vary from a value of 0 (no drug absorption) to 1 (complete drug absorption).</w:t>
                  </w:r>
                </w:p>
                <w:p w14:paraId="5BED4D4B" w14:textId="77777777" w:rsidR="00563987" w:rsidRPr="00563987" w:rsidRDefault="00563987" w:rsidP="00563987">
                  <w:pPr>
                    <w:rPr>
                      <w:rFonts w:eastAsiaTheme="minorHAnsi"/>
                    </w:rPr>
                  </w:pPr>
                  <w:bookmarkStart w:id="11" w:name="2481645"/>
                  <w:bookmarkEnd w:id="11"/>
                  <w:r w:rsidRPr="00563987">
                    <w:rPr>
                      <w:rFonts w:eastAsiaTheme="minorHAnsi"/>
                    </w:rPr>
                    <w:t>Relative Availability</w:t>
                  </w:r>
                </w:p>
                <w:p w14:paraId="39BB1E66" w14:textId="77777777" w:rsidR="00563987" w:rsidRPr="00563987" w:rsidRDefault="00563987" w:rsidP="00563987">
                  <w:pPr>
                    <w:rPr>
                      <w:rFonts w:eastAsiaTheme="minorHAnsi"/>
                    </w:rPr>
                  </w:pPr>
                  <w:bookmarkStart w:id="12" w:name="2481646"/>
                  <w:bookmarkEnd w:id="12"/>
                  <w:r w:rsidRPr="00563987">
                    <w:rPr>
                      <w:rFonts w:eastAsiaTheme="minorHAnsi"/>
                    </w:rPr>
                    <w:t xml:space="preserve">Relative (apparent) availability is the availability of the drug from a drug product as compared to a recognized </w:t>
                  </w:r>
                  <w:r w:rsidRPr="00563987">
                    <w:rPr>
                      <w:rFonts w:eastAsiaTheme="minorHAnsi"/>
                    </w:rPr>
                    <w:lastRenderedPageBreak/>
                    <w:t>standard. The fraction of dose systemically available from an oral drug product is difficult to ascertain. The availability of drug in the formulation is compared to the availability of drug in a standard dosage formulation, usually a solution of the pure drug evaluated in a crossover study. The relative availability of two drug products given at the same dosage level and by the same route of administration can be obtained using the following equation:</w:t>
                  </w:r>
                </w:p>
                <w:p w14:paraId="5A89F4F6" w14:textId="266DC1D6" w:rsidR="00563987" w:rsidRPr="00563987" w:rsidRDefault="00563987" w:rsidP="00563987">
                  <w:pPr>
                    <w:rPr>
                      <w:rFonts w:eastAsiaTheme="minorHAnsi"/>
                    </w:rPr>
                  </w:pPr>
                  <w:bookmarkStart w:id="13" w:name="2481888"/>
                  <w:bookmarkStart w:id="14" w:name="2481647"/>
                  <w:bookmarkEnd w:id="13"/>
                  <w:bookmarkEnd w:id="14"/>
                  <w:r w:rsidRPr="00563987">
                    <w:rPr>
                      <w:rFonts w:eastAsiaTheme="minorHAnsi"/>
                      <w:noProof/>
                    </w:rPr>
                    <mc:AlternateContent>
                      <mc:Choice Requires="wps">
                        <w:drawing>
                          <wp:inline distT="0" distB="0" distL="0" distR="0" wp14:anchorId="7C1539D6" wp14:editId="6B152D0A">
                            <wp:extent cx="304800" cy="304800"/>
                            <wp:effectExtent l="0" t="0" r="0" b="0"/>
                            <wp:docPr id="231815401"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BC7FF" id="Rectangle 1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876D43" w14:textId="77777777" w:rsidR="00563987" w:rsidRPr="00563987" w:rsidRDefault="00563987" w:rsidP="00563987">
                  <w:pPr>
                    <w:rPr>
                      <w:rFonts w:eastAsiaTheme="minorHAnsi"/>
                    </w:rPr>
                  </w:pPr>
                  <w:bookmarkStart w:id="15" w:name="2481648"/>
                  <w:bookmarkEnd w:id="15"/>
                  <w:r w:rsidRPr="00563987">
                    <w:rPr>
                      <w:rFonts w:eastAsiaTheme="minorHAnsi"/>
                    </w:rPr>
                    <w:t>where drug product B is the recognized reference standard. This fraction may be multiplied by 100 to give percent relative availability.</w:t>
                  </w:r>
                </w:p>
                <w:p w14:paraId="5B7792C2" w14:textId="77777777" w:rsidR="00563987" w:rsidRPr="00563987" w:rsidRDefault="00563987" w:rsidP="00563987">
                  <w:pPr>
                    <w:rPr>
                      <w:rFonts w:eastAsiaTheme="minorHAnsi"/>
                    </w:rPr>
                  </w:pPr>
                  <w:bookmarkStart w:id="16" w:name="2481649"/>
                  <w:bookmarkEnd w:id="16"/>
                  <w:r w:rsidRPr="00563987">
                    <w:rPr>
                      <w:rFonts w:eastAsiaTheme="minorHAnsi"/>
                    </w:rPr>
                    <w:t>When different doses are administered, a correction for the size of the dose is made, as in the following equation:</w:t>
                  </w:r>
                </w:p>
                <w:p w14:paraId="1545FA37" w14:textId="6FE4AB8F" w:rsidR="00563987" w:rsidRPr="00563987" w:rsidRDefault="00563987" w:rsidP="00563987">
                  <w:pPr>
                    <w:rPr>
                      <w:rFonts w:eastAsiaTheme="minorHAnsi"/>
                    </w:rPr>
                  </w:pPr>
                  <w:bookmarkStart w:id="17" w:name="2481889"/>
                  <w:bookmarkStart w:id="18" w:name="2481650"/>
                  <w:bookmarkEnd w:id="17"/>
                  <w:bookmarkEnd w:id="18"/>
                  <w:r w:rsidRPr="00563987">
                    <w:rPr>
                      <w:rFonts w:eastAsiaTheme="minorHAnsi"/>
                      <w:noProof/>
                    </w:rPr>
                    <mc:AlternateContent>
                      <mc:Choice Requires="wps">
                        <w:drawing>
                          <wp:inline distT="0" distB="0" distL="0" distR="0" wp14:anchorId="5558C30C" wp14:editId="7E070F58">
                            <wp:extent cx="304800" cy="304800"/>
                            <wp:effectExtent l="0" t="0" r="0" b="0"/>
                            <wp:docPr id="346272327"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A4137" id="Rectangle 1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89CCC60" w14:textId="77777777" w:rsidR="00563987" w:rsidRPr="00563987" w:rsidRDefault="00563987" w:rsidP="00563987">
                  <w:pPr>
                    <w:rPr>
                      <w:rFonts w:eastAsiaTheme="minorHAnsi"/>
                    </w:rPr>
                  </w:pPr>
                  <w:bookmarkStart w:id="19" w:name="2481651"/>
                  <w:bookmarkEnd w:id="19"/>
                  <w:r w:rsidRPr="00563987">
                    <w:rPr>
                      <w:rFonts w:eastAsiaTheme="minorHAnsi"/>
                    </w:rPr>
                    <w:t>Urinary drug excretion data may also be used to measure relative availability, as long as the total amount of intact drug excreted in the urine is collected. The percent relative availability using urinary excretion data can be determined as follows:</w:t>
                  </w:r>
                </w:p>
                <w:p w14:paraId="725941C9" w14:textId="4733D25F" w:rsidR="00563987" w:rsidRPr="00563987" w:rsidRDefault="00563987" w:rsidP="00563987">
                  <w:pPr>
                    <w:rPr>
                      <w:rFonts w:eastAsiaTheme="minorHAnsi"/>
                    </w:rPr>
                  </w:pPr>
                  <w:bookmarkStart w:id="20" w:name="2481890"/>
                  <w:bookmarkStart w:id="21" w:name="2481652"/>
                  <w:bookmarkEnd w:id="20"/>
                  <w:bookmarkEnd w:id="21"/>
                  <w:r w:rsidRPr="00563987">
                    <w:rPr>
                      <w:rFonts w:eastAsiaTheme="minorHAnsi"/>
                      <w:noProof/>
                    </w:rPr>
                    <mc:AlternateContent>
                      <mc:Choice Requires="wps">
                        <w:drawing>
                          <wp:inline distT="0" distB="0" distL="0" distR="0" wp14:anchorId="493F8A63" wp14:editId="6ED39CD0">
                            <wp:extent cx="304800" cy="304800"/>
                            <wp:effectExtent l="0" t="0" r="0" b="0"/>
                            <wp:docPr id="699216820"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EFDD5" id="Rectangle 1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3D9DB9" w14:textId="77777777" w:rsidR="00563987" w:rsidRPr="00563987" w:rsidRDefault="00563987" w:rsidP="00563987">
                  <w:pPr>
                    <w:rPr>
                      <w:rFonts w:eastAsiaTheme="minorHAnsi"/>
                    </w:rPr>
                  </w:pPr>
                  <w:bookmarkStart w:id="22" w:name="2481653"/>
                  <w:bookmarkEnd w:id="22"/>
                  <w:r w:rsidRPr="00563987">
                    <w:rPr>
                      <w:rFonts w:eastAsiaTheme="minorHAnsi"/>
                    </w:rPr>
                    <w:t>where [</w:t>
                  </w:r>
                  <w:r w:rsidRPr="00563987">
                    <w:rPr>
                      <w:rFonts w:eastAsiaTheme="minorHAnsi"/>
                      <w:i/>
                      <w:iCs/>
                    </w:rPr>
                    <w:t>D</w:t>
                  </w:r>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vertAlign w:val="superscript"/>
                    </w:rPr>
                    <w:t>∞</w:t>
                  </w:r>
                  <w:r w:rsidRPr="00563987">
                    <w:rPr>
                      <w:rFonts w:eastAsiaTheme="minorHAnsi"/>
                    </w:rPr>
                    <w:t xml:space="preserve"> is the total amount of drug excreted in the urine.</w:t>
                  </w:r>
                </w:p>
                <w:p w14:paraId="07D8BD05" w14:textId="77777777" w:rsidR="00563987" w:rsidRPr="00563987" w:rsidRDefault="00563987" w:rsidP="00563987">
                  <w:pPr>
                    <w:rPr>
                      <w:rFonts w:eastAsiaTheme="minorHAnsi"/>
                    </w:rPr>
                  </w:pPr>
                  <w:bookmarkStart w:id="23" w:name="2481654"/>
                  <w:bookmarkEnd w:id="23"/>
                  <w:r w:rsidRPr="00563987">
                    <w:rPr>
                      <w:rFonts w:eastAsiaTheme="minorHAnsi"/>
                    </w:rPr>
                    <w:t>Absolute Availability</w:t>
                  </w:r>
                </w:p>
                <w:p w14:paraId="20D81121" w14:textId="77777777" w:rsidR="00563987" w:rsidRPr="00563987" w:rsidRDefault="00563987" w:rsidP="00563987">
                  <w:pPr>
                    <w:rPr>
                      <w:rFonts w:eastAsiaTheme="minorHAnsi"/>
                    </w:rPr>
                  </w:pPr>
                  <w:bookmarkStart w:id="24" w:name="2481655"/>
                  <w:bookmarkEnd w:id="24"/>
                  <w:r w:rsidRPr="00563987">
                    <w:rPr>
                      <w:rFonts w:eastAsiaTheme="minorHAnsi"/>
                    </w:rPr>
                    <w:t>The absolute availability of drug is the systemic availability of a drug after extravascular administration (</w:t>
                  </w:r>
                  <w:proofErr w:type="spellStart"/>
                  <w:r w:rsidRPr="00563987">
                    <w:rPr>
                      <w:rFonts w:eastAsiaTheme="minorHAnsi"/>
                    </w:rPr>
                    <w:t>eg</w:t>
                  </w:r>
                  <w:proofErr w:type="spellEnd"/>
                  <w:r w:rsidRPr="00563987">
                    <w:rPr>
                      <w:rFonts w:eastAsiaTheme="minorHAnsi"/>
                    </w:rPr>
                    <w:t xml:space="preserve">, oral, rectal, transdermal, subcutaneous) compared to IV dosing. The absolute availability of a drug is generally measured by comparing the respective AUCs after extravascular and IV administration. This measurement may be performed as long as </w:t>
                  </w:r>
                  <w:r w:rsidRPr="00563987">
                    <w:rPr>
                      <w:rFonts w:eastAsiaTheme="minorHAnsi"/>
                      <w:i/>
                      <w:iCs/>
                    </w:rPr>
                    <w:t>V</w:t>
                  </w:r>
                  <w:r w:rsidRPr="00563987">
                    <w:rPr>
                      <w:rFonts w:eastAsiaTheme="minorHAnsi"/>
                    </w:rPr>
                    <w:t xml:space="preserve"> </w:t>
                  </w:r>
                  <w:r w:rsidRPr="00563987">
                    <w:rPr>
                      <w:rFonts w:eastAsiaTheme="minorHAnsi"/>
                      <w:vertAlign w:val="subscript"/>
                    </w:rPr>
                    <w:t>D</w:t>
                  </w:r>
                  <w:r w:rsidRPr="00563987">
                    <w:rPr>
                      <w:rFonts w:eastAsiaTheme="minorHAnsi"/>
                    </w:rPr>
                    <w:t xml:space="preserve"> and </w:t>
                  </w:r>
                  <w:r w:rsidRPr="00563987">
                    <w:rPr>
                      <w:rFonts w:eastAsiaTheme="minorHAnsi"/>
                      <w:i/>
                      <w:iCs/>
                    </w:rPr>
                    <w:t>k</w:t>
                  </w:r>
                  <w:r w:rsidRPr="00563987">
                    <w:rPr>
                      <w:rFonts w:eastAsiaTheme="minorHAnsi"/>
                    </w:rPr>
                    <w:t xml:space="preserve"> are independent of the route of administration. Absolute availability after oral drug administration using plasma data can be determined as follows:</w:t>
                  </w:r>
                </w:p>
                <w:p w14:paraId="1C15EE31" w14:textId="7F9B2EC3" w:rsidR="00563987" w:rsidRPr="00563987" w:rsidRDefault="00563987" w:rsidP="00563987">
                  <w:pPr>
                    <w:rPr>
                      <w:rFonts w:eastAsiaTheme="minorHAnsi"/>
                    </w:rPr>
                  </w:pPr>
                  <w:bookmarkStart w:id="25" w:name="2481891"/>
                  <w:bookmarkStart w:id="26" w:name="2481656"/>
                  <w:bookmarkEnd w:id="25"/>
                  <w:bookmarkEnd w:id="26"/>
                  <w:r w:rsidRPr="00563987">
                    <w:rPr>
                      <w:rFonts w:eastAsiaTheme="minorHAnsi"/>
                      <w:noProof/>
                    </w:rPr>
                    <mc:AlternateContent>
                      <mc:Choice Requires="wps">
                        <w:drawing>
                          <wp:inline distT="0" distB="0" distL="0" distR="0" wp14:anchorId="25ACC871" wp14:editId="7505EE7D">
                            <wp:extent cx="304800" cy="304800"/>
                            <wp:effectExtent l="0" t="0" r="0" b="0"/>
                            <wp:docPr id="590325047"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EA650" id="Rectangle 1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5F810E" w14:textId="77777777" w:rsidR="00563987" w:rsidRPr="00563987" w:rsidRDefault="00563987" w:rsidP="00563987">
                  <w:pPr>
                    <w:rPr>
                      <w:rFonts w:eastAsiaTheme="minorHAnsi"/>
                    </w:rPr>
                  </w:pPr>
                  <w:bookmarkStart w:id="27" w:name="2481657"/>
                  <w:bookmarkEnd w:id="27"/>
                  <w:r w:rsidRPr="00563987">
                    <w:rPr>
                      <w:rFonts w:eastAsiaTheme="minorHAnsi"/>
                    </w:rPr>
                    <w:t xml:space="preserve">Absolute availability, </w:t>
                  </w:r>
                  <w:r w:rsidRPr="00563987">
                    <w:rPr>
                      <w:rFonts w:eastAsiaTheme="minorHAnsi"/>
                      <w:i/>
                      <w:iCs/>
                    </w:rPr>
                    <w:t>F</w:t>
                  </w:r>
                  <w:r w:rsidRPr="00563987">
                    <w:rPr>
                      <w:rFonts w:eastAsiaTheme="minorHAnsi"/>
                    </w:rPr>
                    <w:t xml:space="preserve">, may be expressed as a fraction or as a percent by multiplying </w:t>
                  </w:r>
                  <w:r w:rsidRPr="00563987">
                    <w:rPr>
                      <w:rFonts w:eastAsiaTheme="minorHAnsi"/>
                      <w:i/>
                      <w:iCs/>
                    </w:rPr>
                    <w:t>F</w:t>
                  </w:r>
                  <w:r w:rsidRPr="00563987">
                    <w:rPr>
                      <w:rFonts w:eastAsiaTheme="minorHAnsi"/>
                    </w:rPr>
                    <w:t xml:space="preserve"> x 100. Absolute availability using urinary drug excretion data can be determined by the following:</w:t>
                  </w:r>
                </w:p>
                <w:p w14:paraId="3AE6B2DA" w14:textId="30F329BE" w:rsidR="00563987" w:rsidRPr="00563987" w:rsidRDefault="00563987" w:rsidP="00563987">
                  <w:pPr>
                    <w:rPr>
                      <w:rFonts w:eastAsiaTheme="minorHAnsi"/>
                    </w:rPr>
                  </w:pPr>
                  <w:bookmarkStart w:id="28" w:name="2481892"/>
                  <w:bookmarkStart w:id="29" w:name="2481658"/>
                  <w:bookmarkEnd w:id="28"/>
                  <w:bookmarkEnd w:id="29"/>
                  <w:r w:rsidRPr="00563987">
                    <w:rPr>
                      <w:rFonts w:eastAsiaTheme="minorHAnsi"/>
                      <w:noProof/>
                    </w:rPr>
                    <mc:AlternateContent>
                      <mc:Choice Requires="wps">
                        <w:drawing>
                          <wp:inline distT="0" distB="0" distL="0" distR="0" wp14:anchorId="70924DAC" wp14:editId="7F490FE1">
                            <wp:extent cx="304800" cy="304800"/>
                            <wp:effectExtent l="0" t="0" r="0" b="0"/>
                            <wp:docPr id="639690878"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BBCEA" id="Rectangle 1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683AF3" w14:textId="77777777" w:rsidR="00563987" w:rsidRPr="00563987" w:rsidRDefault="00563987" w:rsidP="00563987">
                  <w:pPr>
                    <w:rPr>
                      <w:rFonts w:eastAsiaTheme="minorHAnsi"/>
                    </w:rPr>
                  </w:pPr>
                  <w:bookmarkStart w:id="30" w:name="2481659"/>
                  <w:bookmarkEnd w:id="30"/>
                  <w:r w:rsidRPr="00563987">
                    <w:rPr>
                      <w:rFonts w:eastAsiaTheme="minorHAnsi"/>
                    </w:rPr>
                    <w:t xml:space="preserve">The absolute bioavailability is also equal to </w:t>
                  </w:r>
                  <w:r w:rsidRPr="00563987">
                    <w:rPr>
                      <w:rFonts w:eastAsiaTheme="minorHAnsi"/>
                      <w:i/>
                      <w:iCs/>
                    </w:rPr>
                    <w:t>F</w:t>
                  </w:r>
                  <w:r w:rsidRPr="00563987">
                    <w:rPr>
                      <w:rFonts w:eastAsiaTheme="minorHAnsi"/>
                    </w:rPr>
                    <w:t xml:space="preserve">, the fraction of the dose that is bioavailable. Absolute availability is sometimes expressed as a percent, </w:t>
                  </w:r>
                  <w:proofErr w:type="spellStart"/>
                  <w:r w:rsidRPr="00563987">
                    <w:rPr>
                      <w:rFonts w:eastAsiaTheme="minorHAnsi"/>
                    </w:rPr>
                    <w:t>ie</w:t>
                  </w:r>
                  <w:proofErr w:type="spellEnd"/>
                  <w:r w:rsidRPr="00563987">
                    <w:rPr>
                      <w:rFonts w:eastAsiaTheme="minorHAnsi"/>
                    </w:rPr>
                    <w:t xml:space="preserve">, </w:t>
                  </w:r>
                  <w:r w:rsidRPr="00563987">
                    <w:rPr>
                      <w:rFonts w:eastAsiaTheme="minorHAnsi"/>
                      <w:i/>
                      <w:iCs/>
                    </w:rPr>
                    <w:t>F</w:t>
                  </w:r>
                  <w:r w:rsidRPr="00563987">
                    <w:rPr>
                      <w:rFonts w:eastAsiaTheme="minorHAnsi"/>
                    </w:rPr>
                    <w:t xml:space="preserve"> = 1, or 100%. For drugs given intravascularly, such as by IV bolus injection, </w:t>
                  </w:r>
                  <w:r w:rsidRPr="00563987">
                    <w:rPr>
                      <w:rFonts w:eastAsiaTheme="minorHAnsi"/>
                      <w:i/>
                      <w:iCs/>
                    </w:rPr>
                    <w:t>F</w:t>
                  </w:r>
                  <w:r w:rsidRPr="00563987">
                    <w:rPr>
                      <w:rFonts w:eastAsiaTheme="minorHAnsi"/>
                    </w:rPr>
                    <w:t xml:space="preserve"> = 1 because all of the drug is completely absorbed. For all extravascular routes of administration, such as the oral route (PO), the absolute bioavailability </w:t>
                  </w:r>
                  <w:r w:rsidRPr="00563987">
                    <w:rPr>
                      <w:rFonts w:eastAsiaTheme="minorHAnsi"/>
                      <w:i/>
                      <w:iCs/>
                    </w:rPr>
                    <w:t>F</w:t>
                  </w:r>
                  <w:r w:rsidRPr="00563987">
                    <w:rPr>
                      <w:rFonts w:eastAsiaTheme="minorHAnsi"/>
                    </w:rPr>
                    <w:t xml:space="preserve"> may not exceed 100% (</w:t>
                  </w:r>
                  <w:r w:rsidRPr="00563987">
                    <w:rPr>
                      <w:rFonts w:eastAsiaTheme="minorHAnsi"/>
                      <w:i/>
                      <w:iCs/>
                    </w:rPr>
                    <w:t>F</w:t>
                  </w:r>
                  <w:r w:rsidRPr="00563987">
                    <w:rPr>
                      <w:rFonts w:eastAsiaTheme="minorHAnsi"/>
                    </w:rPr>
                    <w:t xml:space="preserve"> &gt; 1). </w:t>
                  </w:r>
                  <w:r w:rsidRPr="00563987">
                    <w:rPr>
                      <w:rFonts w:eastAsiaTheme="minorHAnsi"/>
                      <w:i/>
                      <w:iCs/>
                    </w:rPr>
                    <w:t>F</w:t>
                  </w:r>
                  <w:r w:rsidRPr="00563987">
                    <w:rPr>
                      <w:rFonts w:eastAsiaTheme="minorHAnsi"/>
                    </w:rPr>
                    <w:t xml:space="preserve"> is usually determined by Equation 15.4 or 15.5, where PO is the oral route or any other extravascular route of drug administration.</w:t>
                  </w:r>
                </w:p>
                <w:p w14:paraId="1CAA4962" w14:textId="77777777" w:rsidR="00563987" w:rsidRPr="00563987" w:rsidRDefault="00563987" w:rsidP="00563987">
                  <w:pPr>
                    <w:rPr>
                      <w:rFonts w:eastAsiaTheme="minorHAnsi"/>
                    </w:rPr>
                  </w:pPr>
                  <w:bookmarkStart w:id="31" w:name="2481660"/>
                  <w:bookmarkEnd w:id="31"/>
                  <w:r w:rsidRPr="00563987">
                    <w:rPr>
                      <w:rFonts w:eastAsiaTheme="minorHAnsi"/>
                    </w:rPr>
                    <w:t>Practice Problem</w:t>
                  </w:r>
                </w:p>
                <w:p w14:paraId="4BCDE48E" w14:textId="77777777" w:rsidR="00563987" w:rsidRPr="00563987" w:rsidRDefault="00563987" w:rsidP="00563987">
                  <w:pPr>
                    <w:rPr>
                      <w:rFonts w:eastAsiaTheme="minorHAnsi"/>
                    </w:rPr>
                  </w:pPr>
                  <w:bookmarkStart w:id="32" w:name="2481661"/>
                  <w:bookmarkEnd w:id="32"/>
                  <w:r w:rsidRPr="00563987">
                    <w:rPr>
                      <w:rFonts w:eastAsiaTheme="minorHAnsi"/>
                    </w:rPr>
                    <w:t>The bioavailability of a new investigational drug was studied in 12 volunteers. Each volunteer received either a single oral tablet containing 200 mg of the drug, 5 mL of a pure aqueous solution containing 200 mg of the drug, or a single IV bolus injection containing 50 mg of the drug. Plasma samples were obtained periodically up to 48 hours after the dose and assayed for drug concentration. The average AUC values (0–48 hours) are given in the table below. From these data, calculate (a) the relative bioavailability of the drug from the tablet compared to the oral solution and (b) the absolute bioavailability of the drug from the tablet.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41"/>
                  </w:tblGrid>
                  <w:tr w:rsidR="00563987" w:rsidRPr="00563987" w14:paraId="03AFA93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700"/>
                          <w:gridCol w:w="1051"/>
                          <w:gridCol w:w="2039"/>
                          <w:gridCol w:w="1951"/>
                        </w:tblGrid>
                        <w:tr w:rsidR="00563987" w:rsidRPr="00563987" w14:paraId="483C36EB" w14:textId="77777777">
                          <w:trPr>
                            <w:tblHeader/>
                            <w:tblCellSpacing w:w="7" w:type="dxa"/>
                          </w:trPr>
                          <w:tc>
                            <w:tcPr>
                              <w:tcW w:w="0" w:type="auto"/>
                              <w:shd w:val="clear" w:color="auto" w:fill="FFFFFF"/>
                              <w:hideMark/>
                            </w:tcPr>
                            <w:p w14:paraId="34C5FF04" w14:textId="77777777" w:rsidR="00563987" w:rsidRPr="00563987" w:rsidRDefault="00563987" w:rsidP="00563987">
                              <w:pPr>
                                <w:rPr>
                                  <w:rFonts w:eastAsiaTheme="minorHAnsi"/>
                                  <w:b/>
                                  <w:bCs/>
                                </w:rPr>
                              </w:pPr>
                              <w:r w:rsidRPr="00563987">
                                <w:rPr>
                                  <w:rFonts w:eastAsiaTheme="minorHAnsi"/>
                                  <w:b/>
                                  <w:bCs/>
                                </w:rPr>
                                <w:t>Drug Product</w:t>
                              </w:r>
                            </w:p>
                          </w:tc>
                          <w:tc>
                            <w:tcPr>
                              <w:tcW w:w="0" w:type="auto"/>
                              <w:shd w:val="clear" w:color="auto" w:fill="FFFFFF"/>
                              <w:hideMark/>
                            </w:tcPr>
                            <w:p w14:paraId="2AD517B8" w14:textId="77777777" w:rsidR="00563987" w:rsidRPr="00563987" w:rsidRDefault="00563987" w:rsidP="00563987">
                              <w:pPr>
                                <w:rPr>
                                  <w:rFonts w:eastAsiaTheme="minorHAnsi"/>
                                  <w:b/>
                                  <w:bCs/>
                                </w:rPr>
                              </w:pPr>
                              <w:r w:rsidRPr="00563987">
                                <w:rPr>
                                  <w:rFonts w:eastAsiaTheme="minorHAnsi"/>
                                  <w:b/>
                                  <w:bCs/>
                                </w:rPr>
                                <w:t>Dose (mg)</w:t>
                              </w:r>
                            </w:p>
                          </w:tc>
                          <w:tc>
                            <w:tcPr>
                              <w:tcW w:w="0" w:type="auto"/>
                              <w:shd w:val="clear" w:color="auto" w:fill="FFFFFF"/>
                              <w:hideMark/>
                            </w:tcPr>
                            <w:p w14:paraId="4BFBAA76" w14:textId="75CDF2E5" w:rsidR="00563987" w:rsidRPr="00563987" w:rsidRDefault="00563987" w:rsidP="00563987">
                              <w:pPr>
                                <w:rPr>
                                  <w:rFonts w:eastAsiaTheme="minorHAnsi"/>
                                  <w:b/>
                                  <w:bCs/>
                                </w:rPr>
                              </w:pPr>
                              <w:r w:rsidRPr="00563987">
                                <w:rPr>
                                  <w:rFonts w:eastAsiaTheme="minorHAnsi"/>
                                  <w:b/>
                                  <w:bCs/>
                                </w:rPr>
                                <w:t>AUC (</w:t>
                              </w:r>
                              <w:r w:rsidRPr="00563987">
                                <w:rPr>
                                  <w:rFonts w:eastAsiaTheme="minorHAnsi"/>
                                  <w:b/>
                                  <w:bCs/>
                                  <w:noProof/>
                                </w:rPr>
                                <mc:AlternateContent>
                                  <mc:Choice Requires="wps">
                                    <w:drawing>
                                      <wp:inline distT="0" distB="0" distL="0" distR="0" wp14:anchorId="37BAA949" wp14:editId="381E19BB">
                                        <wp:extent cx="304800" cy="304800"/>
                                        <wp:effectExtent l="0" t="0" r="0" b="0"/>
                                        <wp:docPr id="698486031"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3C239" id="Rectangle 1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 xml:space="preserve">g </w:t>
                              </w:r>
                              <w:proofErr w:type="spellStart"/>
                              <w:r w:rsidRPr="00563987">
                                <w:rPr>
                                  <w:rFonts w:eastAsiaTheme="minorHAnsi"/>
                                  <w:b/>
                                  <w:bCs/>
                                </w:rPr>
                                <w:t>hr</w:t>
                              </w:r>
                              <w:proofErr w:type="spellEnd"/>
                              <w:r w:rsidRPr="00563987">
                                <w:rPr>
                                  <w:rFonts w:eastAsiaTheme="minorHAnsi"/>
                                  <w:b/>
                                  <w:bCs/>
                                </w:rPr>
                                <w:t>/mL)</w:t>
                              </w:r>
                            </w:p>
                          </w:tc>
                          <w:tc>
                            <w:tcPr>
                              <w:tcW w:w="0" w:type="auto"/>
                              <w:shd w:val="clear" w:color="auto" w:fill="FFFFFF"/>
                              <w:hideMark/>
                            </w:tcPr>
                            <w:p w14:paraId="10C748B0" w14:textId="77777777" w:rsidR="00563987" w:rsidRPr="00563987" w:rsidRDefault="00563987" w:rsidP="00563987">
                              <w:pPr>
                                <w:rPr>
                                  <w:rFonts w:eastAsiaTheme="minorHAnsi"/>
                                  <w:b/>
                                  <w:bCs/>
                                </w:rPr>
                              </w:pPr>
                              <w:r w:rsidRPr="00563987">
                                <w:rPr>
                                  <w:rFonts w:eastAsiaTheme="minorHAnsi"/>
                                  <w:b/>
                                  <w:bCs/>
                                </w:rPr>
                                <w:t>Standard Deviation</w:t>
                              </w:r>
                            </w:p>
                          </w:tc>
                        </w:tr>
                        <w:tr w:rsidR="00563987" w:rsidRPr="00563987" w14:paraId="4CD51FD3" w14:textId="77777777">
                          <w:trPr>
                            <w:tblCellSpacing w:w="7" w:type="dxa"/>
                          </w:trPr>
                          <w:tc>
                            <w:tcPr>
                              <w:tcW w:w="0" w:type="auto"/>
                              <w:shd w:val="clear" w:color="auto" w:fill="FFFFFF"/>
                              <w:hideMark/>
                            </w:tcPr>
                            <w:p w14:paraId="4913AAF0" w14:textId="77777777" w:rsidR="00563987" w:rsidRPr="00563987" w:rsidRDefault="00563987" w:rsidP="00563987">
                              <w:pPr>
                                <w:rPr>
                                  <w:rFonts w:eastAsiaTheme="minorHAnsi"/>
                                </w:rPr>
                              </w:pPr>
                              <w:r w:rsidRPr="00563987">
                                <w:rPr>
                                  <w:rFonts w:eastAsiaTheme="minorHAnsi"/>
                                </w:rPr>
                                <w:t>Oral tablet</w:t>
                              </w:r>
                            </w:p>
                          </w:tc>
                          <w:tc>
                            <w:tcPr>
                              <w:tcW w:w="0" w:type="auto"/>
                              <w:shd w:val="clear" w:color="auto" w:fill="FFFFFF"/>
                              <w:hideMark/>
                            </w:tcPr>
                            <w:p w14:paraId="1291A3AA" w14:textId="77777777" w:rsidR="00563987" w:rsidRPr="00563987" w:rsidRDefault="00563987" w:rsidP="00563987">
                              <w:pPr>
                                <w:rPr>
                                  <w:rFonts w:eastAsiaTheme="minorHAnsi"/>
                                </w:rPr>
                              </w:pPr>
                              <w:r w:rsidRPr="00563987">
                                <w:rPr>
                                  <w:rFonts w:eastAsiaTheme="minorHAnsi"/>
                                </w:rPr>
                                <w:t>200</w:t>
                              </w:r>
                            </w:p>
                          </w:tc>
                          <w:tc>
                            <w:tcPr>
                              <w:tcW w:w="0" w:type="auto"/>
                              <w:shd w:val="clear" w:color="auto" w:fill="FFFFFF"/>
                              <w:hideMark/>
                            </w:tcPr>
                            <w:p w14:paraId="78406880" w14:textId="77777777" w:rsidR="00563987" w:rsidRPr="00563987" w:rsidRDefault="00563987" w:rsidP="00563987">
                              <w:pPr>
                                <w:rPr>
                                  <w:rFonts w:eastAsiaTheme="minorHAnsi"/>
                                </w:rPr>
                              </w:pPr>
                              <w:r w:rsidRPr="00563987">
                                <w:rPr>
                                  <w:rFonts w:eastAsiaTheme="minorHAnsi"/>
                                </w:rPr>
                                <w:t>89.5</w:t>
                              </w:r>
                            </w:p>
                          </w:tc>
                          <w:tc>
                            <w:tcPr>
                              <w:tcW w:w="0" w:type="auto"/>
                              <w:shd w:val="clear" w:color="auto" w:fill="FFFFFF"/>
                              <w:hideMark/>
                            </w:tcPr>
                            <w:p w14:paraId="59F5FC19" w14:textId="77777777" w:rsidR="00563987" w:rsidRPr="00563987" w:rsidRDefault="00563987" w:rsidP="00563987">
                              <w:pPr>
                                <w:rPr>
                                  <w:rFonts w:eastAsiaTheme="minorHAnsi"/>
                                </w:rPr>
                              </w:pPr>
                              <w:r w:rsidRPr="00563987">
                                <w:rPr>
                                  <w:rFonts w:eastAsiaTheme="minorHAnsi"/>
                                </w:rPr>
                                <w:t>19.7</w:t>
                              </w:r>
                            </w:p>
                          </w:tc>
                        </w:tr>
                        <w:tr w:rsidR="00563987" w:rsidRPr="00563987" w14:paraId="4F0AADED" w14:textId="77777777">
                          <w:trPr>
                            <w:tblCellSpacing w:w="7" w:type="dxa"/>
                          </w:trPr>
                          <w:tc>
                            <w:tcPr>
                              <w:tcW w:w="0" w:type="auto"/>
                              <w:shd w:val="clear" w:color="auto" w:fill="FFFFFF"/>
                              <w:hideMark/>
                            </w:tcPr>
                            <w:p w14:paraId="2732CC34" w14:textId="77777777" w:rsidR="00563987" w:rsidRPr="00563987" w:rsidRDefault="00563987" w:rsidP="00563987">
                              <w:pPr>
                                <w:rPr>
                                  <w:rFonts w:eastAsiaTheme="minorHAnsi"/>
                                </w:rPr>
                              </w:pPr>
                              <w:r w:rsidRPr="00563987">
                                <w:rPr>
                                  <w:rFonts w:eastAsiaTheme="minorHAnsi"/>
                                </w:rPr>
                                <w:t>Oral solution</w:t>
                              </w:r>
                            </w:p>
                          </w:tc>
                          <w:tc>
                            <w:tcPr>
                              <w:tcW w:w="0" w:type="auto"/>
                              <w:shd w:val="clear" w:color="auto" w:fill="FFFFFF"/>
                              <w:hideMark/>
                            </w:tcPr>
                            <w:p w14:paraId="62D0A59B" w14:textId="77777777" w:rsidR="00563987" w:rsidRPr="00563987" w:rsidRDefault="00563987" w:rsidP="00563987">
                              <w:pPr>
                                <w:rPr>
                                  <w:rFonts w:eastAsiaTheme="minorHAnsi"/>
                                </w:rPr>
                              </w:pPr>
                              <w:r w:rsidRPr="00563987">
                                <w:rPr>
                                  <w:rFonts w:eastAsiaTheme="minorHAnsi"/>
                                </w:rPr>
                                <w:t>200</w:t>
                              </w:r>
                            </w:p>
                          </w:tc>
                          <w:tc>
                            <w:tcPr>
                              <w:tcW w:w="0" w:type="auto"/>
                              <w:shd w:val="clear" w:color="auto" w:fill="FFFFFF"/>
                              <w:hideMark/>
                            </w:tcPr>
                            <w:p w14:paraId="796E066B" w14:textId="77777777" w:rsidR="00563987" w:rsidRPr="00563987" w:rsidRDefault="00563987" w:rsidP="00563987">
                              <w:pPr>
                                <w:rPr>
                                  <w:rFonts w:eastAsiaTheme="minorHAnsi"/>
                                </w:rPr>
                              </w:pPr>
                              <w:r w:rsidRPr="00563987">
                                <w:rPr>
                                  <w:rFonts w:eastAsiaTheme="minorHAnsi"/>
                                </w:rPr>
                                <w:t>86.1</w:t>
                              </w:r>
                            </w:p>
                          </w:tc>
                          <w:tc>
                            <w:tcPr>
                              <w:tcW w:w="0" w:type="auto"/>
                              <w:shd w:val="clear" w:color="auto" w:fill="FFFFFF"/>
                              <w:hideMark/>
                            </w:tcPr>
                            <w:p w14:paraId="0CF93248" w14:textId="77777777" w:rsidR="00563987" w:rsidRPr="00563987" w:rsidRDefault="00563987" w:rsidP="00563987">
                              <w:pPr>
                                <w:rPr>
                                  <w:rFonts w:eastAsiaTheme="minorHAnsi"/>
                                </w:rPr>
                              </w:pPr>
                              <w:r w:rsidRPr="00563987">
                                <w:rPr>
                                  <w:rFonts w:eastAsiaTheme="minorHAnsi"/>
                                </w:rPr>
                                <w:t>18.1</w:t>
                              </w:r>
                            </w:p>
                          </w:tc>
                        </w:tr>
                        <w:tr w:rsidR="00563987" w:rsidRPr="00563987" w14:paraId="30FE1220" w14:textId="77777777">
                          <w:trPr>
                            <w:tblCellSpacing w:w="7" w:type="dxa"/>
                          </w:trPr>
                          <w:tc>
                            <w:tcPr>
                              <w:tcW w:w="0" w:type="auto"/>
                              <w:shd w:val="clear" w:color="auto" w:fill="FFFFFF"/>
                              <w:hideMark/>
                            </w:tcPr>
                            <w:p w14:paraId="67BF38A8" w14:textId="77777777" w:rsidR="00563987" w:rsidRPr="00563987" w:rsidRDefault="00563987" w:rsidP="00563987">
                              <w:pPr>
                                <w:rPr>
                                  <w:rFonts w:eastAsiaTheme="minorHAnsi"/>
                                </w:rPr>
                              </w:pPr>
                              <w:r w:rsidRPr="00563987">
                                <w:rPr>
                                  <w:rFonts w:eastAsiaTheme="minorHAnsi"/>
                                </w:rPr>
                                <w:t>IV bolus injection</w:t>
                              </w:r>
                            </w:p>
                          </w:tc>
                          <w:tc>
                            <w:tcPr>
                              <w:tcW w:w="0" w:type="auto"/>
                              <w:shd w:val="clear" w:color="auto" w:fill="FFFFFF"/>
                              <w:hideMark/>
                            </w:tcPr>
                            <w:p w14:paraId="2DED83E3" w14:textId="77777777" w:rsidR="00563987" w:rsidRPr="00563987" w:rsidRDefault="00563987" w:rsidP="00563987">
                              <w:pPr>
                                <w:rPr>
                                  <w:rFonts w:eastAsiaTheme="minorHAnsi"/>
                                </w:rPr>
                              </w:pPr>
                              <w:r w:rsidRPr="00563987">
                                <w:rPr>
                                  <w:rFonts w:eastAsiaTheme="minorHAnsi"/>
                                </w:rPr>
                                <w:t>50</w:t>
                              </w:r>
                            </w:p>
                          </w:tc>
                          <w:tc>
                            <w:tcPr>
                              <w:tcW w:w="0" w:type="auto"/>
                              <w:shd w:val="clear" w:color="auto" w:fill="FFFFFF"/>
                              <w:hideMark/>
                            </w:tcPr>
                            <w:p w14:paraId="0BE962CD" w14:textId="77777777" w:rsidR="00563987" w:rsidRPr="00563987" w:rsidRDefault="00563987" w:rsidP="00563987">
                              <w:pPr>
                                <w:rPr>
                                  <w:rFonts w:eastAsiaTheme="minorHAnsi"/>
                                </w:rPr>
                              </w:pPr>
                              <w:r w:rsidRPr="00563987">
                                <w:rPr>
                                  <w:rFonts w:eastAsiaTheme="minorHAnsi"/>
                                </w:rPr>
                                <w:t>37.8</w:t>
                              </w:r>
                            </w:p>
                          </w:tc>
                          <w:tc>
                            <w:tcPr>
                              <w:tcW w:w="0" w:type="auto"/>
                              <w:shd w:val="clear" w:color="auto" w:fill="FFFFFF"/>
                              <w:hideMark/>
                            </w:tcPr>
                            <w:p w14:paraId="138002F4" w14:textId="77777777" w:rsidR="00563987" w:rsidRPr="00563987" w:rsidRDefault="00563987" w:rsidP="00563987">
                              <w:pPr>
                                <w:rPr>
                                  <w:rFonts w:eastAsiaTheme="minorHAnsi"/>
                                </w:rPr>
                              </w:pPr>
                              <w:r w:rsidRPr="00563987">
                                <w:rPr>
                                  <w:rFonts w:eastAsiaTheme="minorHAnsi"/>
                                </w:rPr>
                                <w:t>5.7</w:t>
                              </w:r>
                            </w:p>
                          </w:tc>
                        </w:tr>
                      </w:tbl>
                      <w:p w14:paraId="1E0A140B" w14:textId="77777777" w:rsidR="00563987" w:rsidRPr="00563987" w:rsidRDefault="00563987" w:rsidP="00563987">
                        <w:pPr>
                          <w:rPr>
                            <w:rFonts w:eastAsiaTheme="minorHAnsi"/>
                          </w:rPr>
                        </w:pPr>
                      </w:p>
                    </w:tc>
                  </w:tr>
                  <w:tr w:rsidR="00563987" w:rsidRPr="00563987" w14:paraId="5D6F76B6" w14:textId="77777777">
                    <w:trPr>
                      <w:tblCellSpacing w:w="0" w:type="dxa"/>
                    </w:trPr>
                    <w:tc>
                      <w:tcPr>
                        <w:tcW w:w="0" w:type="auto"/>
                        <w:shd w:val="clear" w:color="auto" w:fill="FFFFFF"/>
                        <w:vAlign w:val="center"/>
                        <w:hideMark/>
                      </w:tcPr>
                      <w:p w14:paraId="04FC4854" w14:textId="77777777" w:rsidR="00563987" w:rsidRPr="00563987" w:rsidRDefault="00563987" w:rsidP="00563987">
                        <w:pPr>
                          <w:rPr>
                            <w:rFonts w:eastAsiaTheme="minorHAnsi"/>
                          </w:rPr>
                        </w:pPr>
                      </w:p>
                    </w:tc>
                  </w:tr>
                </w:tbl>
                <w:p w14:paraId="182A06CD" w14:textId="77777777" w:rsidR="00563987" w:rsidRPr="00563987" w:rsidRDefault="00563987" w:rsidP="00563987">
                  <w:pPr>
                    <w:rPr>
                      <w:rFonts w:eastAsiaTheme="minorHAnsi"/>
                    </w:rPr>
                  </w:pPr>
                  <w:bookmarkStart w:id="33" w:name="2481662"/>
                  <w:bookmarkEnd w:id="33"/>
                  <w:r w:rsidRPr="00563987">
                    <w:rPr>
                      <w:rFonts w:eastAsiaTheme="minorHAnsi"/>
                      <w:b/>
                      <w:bCs/>
                    </w:rPr>
                    <w:t>Solution</w:t>
                  </w:r>
                  <w:r w:rsidRPr="00563987">
                    <w:rPr>
                      <w:rFonts w:eastAsiaTheme="minorHAnsi"/>
                    </w:rPr>
                    <w:t xml:space="preserve"> </w:t>
                  </w:r>
                </w:p>
                <w:p w14:paraId="1F53A26B" w14:textId="77777777" w:rsidR="00563987" w:rsidRPr="00563987" w:rsidRDefault="00563987" w:rsidP="00563987">
                  <w:pPr>
                    <w:rPr>
                      <w:rFonts w:eastAsiaTheme="minorHAnsi"/>
                    </w:rPr>
                  </w:pPr>
                  <w:bookmarkStart w:id="34" w:name="2481663"/>
                  <w:bookmarkEnd w:id="34"/>
                  <w:r w:rsidRPr="00563987">
                    <w:rPr>
                      <w:rFonts w:eastAsiaTheme="minorHAnsi"/>
                    </w:rPr>
                    <w:t>The relative bioavailability of the drug from the tablet is estimated using Equation 15.1. No adjustment for dose is necessary.</w:t>
                  </w:r>
                </w:p>
                <w:p w14:paraId="668AA255" w14:textId="7D1C7CF7" w:rsidR="00563987" w:rsidRPr="00563987" w:rsidRDefault="00563987" w:rsidP="00563987">
                  <w:pPr>
                    <w:rPr>
                      <w:rFonts w:eastAsiaTheme="minorHAnsi"/>
                    </w:rPr>
                  </w:pPr>
                  <w:bookmarkStart w:id="35" w:name="2481893"/>
                  <w:bookmarkStart w:id="36" w:name="2481664"/>
                  <w:bookmarkEnd w:id="35"/>
                  <w:bookmarkEnd w:id="36"/>
                  <w:r w:rsidRPr="00563987">
                    <w:rPr>
                      <w:rFonts w:eastAsiaTheme="minorHAnsi"/>
                      <w:noProof/>
                    </w:rPr>
                    <mc:AlternateContent>
                      <mc:Choice Requires="wps">
                        <w:drawing>
                          <wp:inline distT="0" distB="0" distL="0" distR="0" wp14:anchorId="0EFD1B48" wp14:editId="68CF8B36">
                            <wp:extent cx="304800" cy="304800"/>
                            <wp:effectExtent l="0" t="0" r="0" b="0"/>
                            <wp:docPr id="1815597790"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ED8E5" id="Rectangle 1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82914F" w14:textId="77777777" w:rsidR="00563987" w:rsidRPr="00563987" w:rsidRDefault="00563987" w:rsidP="00563987">
                  <w:pPr>
                    <w:rPr>
                      <w:rFonts w:eastAsiaTheme="minorHAnsi"/>
                    </w:rPr>
                  </w:pPr>
                  <w:bookmarkStart w:id="37" w:name="2481665"/>
                  <w:bookmarkEnd w:id="37"/>
                  <w:r w:rsidRPr="00563987">
                    <w:rPr>
                      <w:rFonts w:eastAsiaTheme="minorHAnsi"/>
                    </w:rPr>
                    <w:t>The relative bioavailability of the drug from the tablet is 1.04, or 104%, compared to the solution. In this study, the difference in drug bioavailability between tablet and solution was not statistically significant. It is possible for the relative bioavailability to be greater than 100%.</w:t>
                  </w:r>
                </w:p>
                <w:p w14:paraId="7F0D7C41" w14:textId="77777777" w:rsidR="00563987" w:rsidRPr="00563987" w:rsidRDefault="00563987" w:rsidP="00563987">
                  <w:pPr>
                    <w:rPr>
                      <w:rFonts w:eastAsiaTheme="minorHAnsi"/>
                    </w:rPr>
                  </w:pPr>
                  <w:bookmarkStart w:id="38" w:name="2481666"/>
                  <w:bookmarkEnd w:id="38"/>
                  <w:r w:rsidRPr="00563987">
                    <w:rPr>
                      <w:rFonts w:eastAsiaTheme="minorHAnsi"/>
                    </w:rPr>
                    <w:t>The absolute drug bioavailability from the tablet is calculated using Equation 15.4 and adjusting for the dose.</w:t>
                  </w:r>
                </w:p>
                <w:p w14:paraId="4364D3DB" w14:textId="4B1B0E20" w:rsidR="00563987" w:rsidRPr="00563987" w:rsidRDefault="00563987" w:rsidP="00563987">
                  <w:pPr>
                    <w:rPr>
                      <w:rFonts w:eastAsiaTheme="minorHAnsi"/>
                    </w:rPr>
                  </w:pPr>
                  <w:bookmarkStart w:id="39" w:name="2481894"/>
                  <w:bookmarkStart w:id="40" w:name="2481667"/>
                  <w:bookmarkEnd w:id="39"/>
                  <w:bookmarkEnd w:id="40"/>
                  <w:r w:rsidRPr="00563987">
                    <w:rPr>
                      <w:rFonts w:eastAsiaTheme="minorHAnsi"/>
                      <w:noProof/>
                    </w:rPr>
                    <mc:AlternateContent>
                      <mc:Choice Requires="wps">
                        <w:drawing>
                          <wp:inline distT="0" distB="0" distL="0" distR="0" wp14:anchorId="1F0C50C1" wp14:editId="686378B8">
                            <wp:extent cx="304800" cy="304800"/>
                            <wp:effectExtent l="0" t="0" r="0" b="0"/>
                            <wp:docPr id="540320298"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489DD" id="Rectangle 1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205759" w14:textId="77777777" w:rsidR="00563987" w:rsidRPr="00563987" w:rsidRDefault="00563987" w:rsidP="00563987">
                  <w:pPr>
                    <w:rPr>
                      <w:rFonts w:eastAsiaTheme="minorHAnsi"/>
                    </w:rPr>
                  </w:pPr>
                  <w:bookmarkStart w:id="41" w:name="2481668"/>
                  <w:bookmarkEnd w:id="41"/>
                  <w:r w:rsidRPr="00563987">
                    <w:rPr>
                      <w:rFonts w:eastAsiaTheme="minorHAnsi"/>
                    </w:rPr>
                    <w:t xml:space="preserve">Because </w:t>
                  </w:r>
                  <w:r w:rsidRPr="00563987">
                    <w:rPr>
                      <w:rFonts w:eastAsiaTheme="minorHAnsi"/>
                      <w:i/>
                      <w:iCs/>
                    </w:rPr>
                    <w:t>F</w:t>
                  </w:r>
                  <w:r w:rsidRPr="00563987">
                    <w:rPr>
                      <w:rFonts w:eastAsiaTheme="minorHAnsi"/>
                    </w:rPr>
                    <w:t xml:space="preserve">, the fraction of dose absorbed from the tablet, is less than 1, the drug is not completely absorbed </w:t>
                  </w:r>
                  <w:r w:rsidRPr="00563987">
                    <w:rPr>
                      <w:rFonts w:eastAsiaTheme="minorHAnsi"/>
                    </w:rPr>
                    <w:lastRenderedPageBreak/>
                    <w:t xml:space="preserve">systemically, as a result of either poor absorption or metabolism by first-pass effect. The relative bioavailability of the drug from the tablet is approximately 100% when compared to the oral solution. </w:t>
                  </w:r>
                </w:p>
                <w:p w14:paraId="09C39C32" w14:textId="77777777" w:rsidR="00563987" w:rsidRPr="00563987" w:rsidRDefault="00563987" w:rsidP="00563987">
                  <w:pPr>
                    <w:rPr>
                      <w:rFonts w:eastAsiaTheme="minorHAnsi"/>
                    </w:rPr>
                  </w:pPr>
                  <w:bookmarkStart w:id="42" w:name="2481669"/>
                  <w:bookmarkEnd w:id="42"/>
                  <w:r w:rsidRPr="00563987">
                    <w:rPr>
                      <w:rFonts w:eastAsiaTheme="minorHAnsi"/>
                    </w:rPr>
                    <w:t>Results from bioequivalence studies may show that the relative bioavailability of the test oral product is greater than, equal to, or less than 100% compared to the reference oral drug product. However, the results from these bioequivalence studies should not be misinterpreted to imply that the absolute bioavailability of the drug from the oral drug products is also 100% unless the oral formulation was compared to an intravenous injection of the drug.</w:t>
                  </w:r>
                </w:p>
              </w:tc>
            </w:tr>
          </w:tbl>
          <w:p w14:paraId="68ED34F9" w14:textId="77777777" w:rsidR="00563987" w:rsidRPr="00563987" w:rsidRDefault="00563987" w:rsidP="00563987">
            <w:pPr>
              <w:rPr>
                <w:rFonts w:eastAsiaTheme="minorHAnsi"/>
                <w:vanish/>
              </w:rPr>
            </w:pPr>
            <w:bookmarkStart w:id="43" w:name="2481670"/>
            <w:bookmarkEnd w:id="4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33D44DB8" w14:textId="77777777">
              <w:trPr>
                <w:tblCellSpacing w:w="0" w:type="dxa"/>
              </w:trPr>
              <w:tc>
                <w:tcPr>
                  <w:tcW w:w="0" w:type="auto"/>
                  <w:shd w:val="clear" w:color="auto" w:fill="FFFFFF"/>
                  <w:hideMark/>
                </w:tcPr>
                <w:p w14:paraId="6F162453" w14:textId="77777777" w:rsidR="00563987" w:rsidRPr="00563987" w:rsidRDefault="00563987" w:rsidP="00563987">
                  <w:pPr>
                    <w:rPr>
                      <w:rFonts w:eastAsiaTheme="minorHAnsi"/>
                    </w:rPr>
                  </w:pPr>
                  <w:r w:rsidRPr="00563987">
                    <w:rPr>
                      <w:rFonts w:eastAsiaTheme="minorHAnsi"/>
                    </w:rPr>
                    <w:t>Methods for Assessing Bioavailability</w:t>
                  </w:r>
                </w:p>
                <w:p w14:paraId="3F7C6543" w14:textId="77777777" w:rsidR="00563987" w:rsidRPr="00563987" w:rsidRDefault="00563987" w:rsidP="00563987">
                  <w:pPr>
                    <w:rPr>
                      <w:rFonts w:eastAsiaTheme="minorHAnsi"/>
                    </w:rPr>
                  </w:pPr>
                  <w:bookmarkStart w:id="44" w:name="2481671"/>
                  <w:bookmarkEnd w:id="44"/>
                  <w:r w:rsidRPr="00563987">
                    <w:rPr>
                      <w:rFonts w:eastAsiaTheme="minorHAnsi"/>
                    </w:rPr>
                    <w:t xml:space="preserve">Direct and indirect methods may be used to assess drug bioavailability. The </w:t>
                  </w:r>
                  <w:r w:rsidRPr="00563987">
                    <w:rPr>
                      <w:rFonts w:eastAsiaTheme="minorHAnsi"/>
                      <w:i/>
                      <w:iCs/>
                    </w:rPr>
                    <w:t>in-vivo</w:t>
                  </w:r>
                  <w:r w:rsidRPr="00563987">
                    <w:rPr>
                      <w:rFonts w:eastAsiaTheme="minorHAnsi"/>
                    </w:rPr>
                    <w:t xml:space="preserve"> bioavailability of a drug product is demonstrated by the rate and extent of drug absorption, as determined by comparison of measured parameters, </w:t>
                  </w:r>
                  <w:proofErr w:type="spellStart"/>
                  <w:r w:rsidRPr="00563987">
                    <w:rPr>
                      <w:rFonts w:eastAsiaTheme="minorHAnsi"/>
                    </w:rPr>
                    <w:t>eg</w:t>
                  </w:r>
                  <w:proofErr w:type="spellEnd"/>
                  <w:r w:rsidRPr="00563987">
                    <w:rPr>
                      <w:rFonts w:eastAsiaTheme="minorHAnsi"/>
                    </w:rPr>
                    <w:t xml:space="preserve">, concentration of the active drug ingredient in the blood, cumulative urinary excretion rates, or pharmacological effects. For drug products that are not intended to be absorbed into the bloodstream, bioavailability may be assessed by measurements intended to reflect the rate and extent to which the active ingredient or active moiety becomes available at the site of action. The design of the bioavailability study depends on the objectives of the study, the ability to analyze the drug (and metabolites) in biological fluids, the pharmacodynamics of the drug substance, the route of drug administration, and the nature of the drug product. Pharmacokinetic and/or pharmacodynamic parameters as well as clinical observations and </w:t>
                  </w:r>
                  <w:r w:rsidRPr="00563987">
                    <w:rPr>
                      <w:rFonts w:eastAsiaTheme="minorHAnsi"/>
                      <w:i/>
                      <w:iCs/>
                    </w:rPr>
                    <w:t>in-vitro</w:t>
                  </w:r>
                  <w:r w:rsidRPr="00563987">
                    <w:rPr>
                      <w:rFonts w:eastAsiaTheme="minorHAnsi"/>
                    </w:rPr>
                    <w:t xml:space="preserve"> studies may be used to determine drug bioavailability from a drug product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91"/>
                  </w:tblGrid>
                  <w:tr w:rsidR="00563987" w:rsidRPr="00563987" w14:paraId="47E8DB14"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261"/>
                        </w:tblGrid>
                        <w:tr w:rsidR="00563987" w:rsidRPr="00563987" w14:paraId="5D4DE53A" w14:textId="77777777">
                          <w:trPr>
                            <w:tblCellSpacing w:w="0" w:type="dxa"/>
                          </w:trPr>
                          <w:tc>
                            <w:tcPr>
                              <w:tcW w:w="0" w:type="auto"/>
                              <w:vAlign w:val="center"/>
                              <w:hideMark/>
                            </w:tcPr>
                            <w:p w14:paraId="22457E67" w14:textId="77777777" w:rsidR="00563987" w:rsidRPr="00563987" w:rsidRDefault="00563987" w:rsidP="00563987">
                              <w:pPr>
                                <w:rPr>
                                  <w:rFonts w:eastAsiaTheme="minorHAnsi"/>
                                </w:rPr>
                              </w:pPr>
                              <w:bookmarkStart w:id="45" w:name="2481826"/>
                              <w:bookmarkEnd w:id="45"/>
                              <w:r w:rsidRPr="00563987">
                                <w:rPr>
                                  <w:rFonts w:eastAsiaTheme="minorHAnsi"/>
                                </w:rPr>
                                <w:t>Table 15.1 Methods for Assessing Bioavailability and Bioequivalence</w:t>
                              </w:r>
                            </w:p>
                            <w:p w14:paraId="5F0EFEB2" w14:textId="77777777" w:rsidR="00563987" w:rsidRPr="00563987" w:rsidRDefault="00563987" w:rsidP="00563987">
                              <w:pPr>
                                <w:rPr>
                                  <w:rFonts w:eastAsiaTheme="minorHAnsi"/>
                                </w:rPr>
                              </w:pPr>
                            </w:p>
                          </w:tc>
                        </w:tr>
                      </w:tbl>
                      <w:p w14:paraId="105FD7DC" w14:textId="77777777" w:rsidR="00563987" w:rsidRPr="00563987" w:rsidRDefault="00563987" w:rsidP="00563987">
                        <w:pPr>
                          <w:rPr>
                            <w:rFonts w:eastAsiaTheme="minorHAnsi"/>
                          </w:rPr>
                        </w:pPr>
                      </w:p>
                    </w:tc>
                  </w:tr>
                  <w:tr w:rsidR="00563987" w:rsidRPr="00563987" w14:paraId="4A205A36"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291"/>
                        </w:tblGrid>
                        <w:tr w:rsidR="00563987" w:rsidRPr="00563987" w14:paraId="0E15CAC9" w14:textId="77777777">
                          <w:trPr>
                            <w:tblCellSpacing w:w="7" w:type="dxa"/>
                          </w:trPr>
                          <w:tc>
                            <w:tcPr>
                              <w:tcW w:w="0" w:type="auto"/>
                              <w:shd w:val="clear" w:color="auto" w:fill="FFFFFF"/>
                              <w:hideMark/>
                            </w:tcPr>
                            <w:p w14:paraId="4B296508" w14:textId="77777777" w:rsidR="00563987" w:rsidRPr="00563987" w:rsidRDefault="00563987" w:rsidP="00563987">
                              <w:pPr>
                                <w:rPr>
                                  <w:rFonts w:eastAsiaTheme="minorHAnsi"/>
                                </w:rPr>
                              </w:pPr>
                              <w:r w:rsidRPr="00563987">
                                <w:rPr>
                                  <w:rFonts w:eastAsiaTheme="minorHAnsi"/>
                                  <w:b/>
                                  <w:bCs/>
                                </w:rPr>
                                <w:t>Plasma drug concentration</w:t>
                              </w:r>
                              <w:r w:rsidRPr="00563987">
                                <w:rPr>
                                  <w:rFonts w:eastAsiaTheme="minorHAnsi"/>
                                </w:rPr>
                                <w:t xml:space="preserve">  </w:t>
                              </w:r>
                            </w:p>
                          </w:tc>
                        </w:tr>
                        <w:tr w:rsidR="00563987" w:rsidRPr="00563987" w14:paraId="325983D1" w14:textId="77777777">
                          <w:trPr>
                            <w:tblCellSpacing w:w="7" w:type="dxa"/>
                          </w:trPr>
                          <w:tc>
                            <w:tcPr>
                              <w:tcW w:w="0" w:type="auto"/>
                              <w:shd w:val="clear" w:color="auto" w:fill="FFFFFF"/>
                              <w:hideMark/>
                            </w:tcPr>
                            <w:p w14:paraId="7511438E" w14:textId="77777777" w:rsidR="00563987" w:rsidRPr="00563987" w:rsidRDefault="00563987" w:rsidP="00563987">
                              <w:pPr>
                                <w:rPr>
                                  <w:rFonts w:eastAsiaTheme="minorHAnsi"/>
                                </w:rPr>
                              </w:pPr>
                              <w:r w:rsidRPr="00563987">
                                <w:rPr>
                                  <w:rFonts w:eastAsiaTheme="minorHAnsi"/>
                                </w:rPr>
                                <w:t>  Time for peak plasma (blood) concentration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w:t>
                              </w:r>
                              <w:r w:rsidRPr="00563987">
                                <w:rPr>
                                  <w:rFonts w:eastAsiaTheme="minorHAnsi"/>
                                </w:rPr>
                                <w:br/>
                                <w:t> </w:t>
                              </w:r>
                            </w:p>
                          </w:tc>
                        </w:tr>
                        <w:tr w:rsidR="00563987" w:rsidRPr="00563987" w14:paraId="602152B5" w14:textId="77777777">
                          <w:trPr>
                            <w:tblCellSpacing w:w="7" w:type="dxa"/>
                          </w:trPr>
                          <w:tc>
                            <w:tcPr>
                              <w:tcW w:w="0" w:type="auto"/>
                              <w:shd w:val="clear" w:color="auto" w:fill="FFFFFF"/>
                              <w:hideMark/>
                            </w:tcPr>
                            <w:p w14:paraId="2F22ABB0" w14:textId="77777777" w:rsidR="00563987" w:rsidRPr="00563987" w:rsidRDefault="00563987" w:rsidP="00563987">
                              <w:pPr>
                                <w:rPr>
                                  <w:rFonts w:eastAsiaTheme="minorHAnsi"/>
                                </w:rPr>
                              </w:pPr>
                              <w:r w:rsidRPr="00563987">
                                <w:rPr>
                                  <w:rFonts w:eastAsiaTheme="minorHAnsi"/>
                                </w:rPr>
                                <w:t>  Peak plasma drug concentration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w:t>
                              </w:r>
                              <w:r w:rsidRPr="00563987">
                                <w:rPr>
                                  <w:rFonts w:eastAsiaTheme="minorHAnsi"/>
                                </w:rPr>
                                <w:br/>
                                <w:t> </w:t>
                              </w:r>
                            </w:p>
                          </w:tc>
                        </w:tr>
                        <w:tr w:rsidR="00563987" w:rsidRPr="00563987" w14:paraId="29BFAAFA" w14:textId="77777777">
                          <w:trPr>
                            <w:tblCellSpacing w:w="7" w:type="dxa"/>
                          </w:trPr>
                          <w:tc>
                            <w:tcPr>
                              <w:tcW w:w="0" w:type="auto"/>
                              <w:shd w:val="clear" w:color="auto" w:fill="FFFFFF"/>
                              <w:hideMark/>
                            </w:tcPr>
                            <w:p w14:paraId="796EC670" w14:textId="77777777" w:rsidR="00563987" w:rsidRPr="00563987" w:rsidRDefault="00563987" w:rsidP="00563987">
                              <w:pPr>
                                <w:rPr>
                                  <w:rFonts w:eastAsiaTheme="minorHAnsi"/>
                                </w:rPr>
                              </w:pPr>
                              <w:r w:rsidRPr="00563987">
                                <w:rPr>
                                  <w:rFonts w:eastAsiaTheme="minorHAnsi"/>
                                </w:rPr>
                                <w:t>  Area under the plasma drug concentration–time curve (AUC)</w:t>
                              </w:r>
                            </w:p>
                          </w:tc>
                        </w:tr>
                        <w:tr w:rsidR="00563987" w:rsidRPr="00563987" w14:paraId="11C1B547" w14:textId="77777777">
                          <w:trPr>
                            <w:tblCellSpacing w:w="7" w:type="dxa"/>
                          </w:trPr>
                          <w:tc>
                            <w:tcPr>
                              <w:tcW w:w="0" w:type="auto"/>
                              <w:shd w:val="clear" w:color="auto" w:fill="FFFFFF"/>
                              <w:hideMark/>
                            </w:tcPr>
                            <w:p w14:paraId="390F0F10" w14:textId="77777777" w:rsidR="00563987" w:rsidRPr="00563987" w:rsidRDefault="00563987" w:rsidP="00563987">
                              <w:pPr>
                                <w:rPr>
                                  <w:rFonts w:eastAsiaTheme="minorHAnsi"/>
                                </w:rPr>
                              </w:pPr>
                              <w:r w:rsidRPr="00563987">
                                <w:rPr>
                                  <w:rFonts w:eastAsiaTheme="minorHAnsi"/>
                                  <w:b/>
                                  <w:bCs/>
                                </w:rPr>
                                <w:t>Urinary drug excretion</w:t>
                              </w:r>
                              <w:r w:rsidRPr="00563987">
                                <w:rPr>
                                  <w:rFonts w:eastAsiaTheme="minorHAnsi"/>
                                </w:rPr>
                                <w:t xml:space="preserve">  </w:t>
                              </w:r>
                            </w:p>
                          </w:tc>
                        </w:tr>
                        <w:tr w:rsidR="00563987" w:rsidRPr="00563987" w14:paraId="6908972A" w14:textId="77777777">
                          <w:trPr>
                            <w:tblCellSpacing w:w="7" w:type="dxa"/>
                          </w:trPr>
                          <w:tc>
                            <w:tcPr>
                              <w:tcW w:w="0" w:type="auto"/>
                              <w:shd w:val="clear" w:color="auto" w:fill="FFFFFF"/>
                              <w:hideMark/>
                            </w:tcPr>
                            <w:p w14:paraId="4F541DD0" w14:textId="77777777" w:rsidR="00563987" w:rsidRPr="00563987" w:rsidRDefault="00563987" w:rsidP="00563987">
                              <w:pPr>
                                <w:rPr>
                                  <w:rFonts w:eastAsiaTheme="minorHAnsi"/>
                                </w:rPr>
                              </w:pPr>
                              <w:r w:rsidRPr="00563987">
                                <w:rPr>
                                  <w:rFonts w:eastAsiaTheme="minorHAnsi"/>
                                </w:rPr>
                                <w:t>  Cumulative amount of drug excreted in the urine (</w:t>
                              </w:r>
                              <w:r w:rsidRPr="00563987">
                                <w:rPr>
                                  <w:rFonts w:eastAsiaTheme="minorHAnsi"/>
                                  <w:i/>
                                  <w:iCs/>
                                </w:rPr>
                                <w:t>D</w:t>
                              </w:r>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rPr>
                                <w:br/>
                                <w:t> </w:t>
                              </w:r>
                            </w:p>
                          </w:tc>
                        </w:tr>
                        <w:tr w:rsidR="00563987" w:rsidRPr="00563987" w14:paraId="46B5CBF4" w14:textId="77777777">
                          <w:trPr>
                            <w:tblCellSpacing w:w="7" w:type="dxa"/>
                          </w:trPr>
                          <w:tc>
                            <w:tcPr>
                              <w:tcW w:w="0" w:type="auto"/>
                              <w:shd w:val="clear" w:color="auto" w:fill="FFFFFF"/>
                              <w:hideMark/>
                            </w:tcPr>
                            <w:p w14:paraId="099C27F6" w14:textId="77777777" w:rsidR="00563987" w:rsidRPr="00563987" w:rsidRDefault="00563987" w:rsidP="00563987">
                              <w:pPr>
                                <w:rPr>
                                  <w:rFonts w:eastAsiaTheme="minorHAnsi"/>
                                </w:rPr>
                              </w:pPr>
                              <w:r w:rsidRPr="00563987">
                                <w:rPr>
                                  <w:rFonts w:eastAsiaTheme="minorHAnsi"/>
                                </w:rPr>
                                <w:t>  Rate of drug excretion in the urine (</w:t>
                              </w:r>
                              <w:proofErr w:type="spellStart"/>
                              <w:r w:rsidRPr="00563987">
                                <w:rPr>
                                  <w:rFonts w:eastAsiaTheme="minorHAnsi"/>
                                  <w:i/>
                                  <w:iCs/>
                                </w:rPr>
                                <w:t>dD</w:t>
                              </w:r>
                              <w:proofErr w:type="spellEnd"/>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i/>
                                  <w:iCs/>
                                </w:rPr>
                                <w:t>dt</w:t>
                              </w:r>
                              <w:r w:rsidRPr="00563987">
                                <w:rPr>
                                  <w:rFonts w:eastAsiaTheme="minorHAnsi"/>
                                </w:rPr>
                                <w:t>) </w:t>
                              </w:r>
                              <w:r w:rsidRPr="00563987">
                                <w:rPr>
                                  <w:rFonts w:eastAsiaTheme="minorHAnsi"/>
                                </w:rPr>
                                <w:br/>
                                <w:t> </w:t>
                              </w:r>
                            </w:p>
                          </w:tc>
                        </w:tr>
                        <w:tr w:rsidR="00563987" w:rsidRPr="00563987" w14:paraId="017E6FF7" w14:textId="77777777">
                          <w:trPr>
                            <w:tblCellSpacing w:w="7" w:type="dxa"/>
                          </w:trPr>
                          <w:tc>
                            <w:tcPr>
                              <w:tcW w:w="0" w:type="auto"/>
                              <w:shd w:val="clear" w:color="auto" w:fill="FFFFFF"/>
                              <w:hideMark/>
                            </w:tcPr>
                            <w:p w14:paraId="475E2356" w14:textId="77777777" w:rsidR="00563987" w:rsidRPr="00563987" w:rsidRDefault="00563987" w:rsidP="00563987">
                              <w:pPr>
                                <w:rPr>
                                  <w:rFonts w:eastAsiaTheme="minorHAnsi"/>
                                </w:rPr>
                              </w:pPr>
                              <w:r w:rsidRPr="00563987">
                                <w:rPr>
                                  <w:rFonts w:eastAsiaTheme="minorHAnsi"/>
                                </w:rPr>
                                <w:t>  Time for maximum urinary excretion (</w:t>
                              </w:r>
                              <w:r w:rsidRPr="00563987">
                                <w:rPr>
                                  <w:rFonts w:eastAsiaTheme="minorHAnsi"/>
                                  <w:i/>
                                  <w:iCs/>
                                </w:rPr>
                                <w:t>t</w:t>
                              </w:r>
                              <w:r w:rsidRPr="00563987">
                                <w:rPr>
                                  <w:rFonts w:eastAsiaTheme="minorHAnsi"/>
                                </w:rPr>
                                <w:t>) </w:t>
                              </w:r>
                            </w:p>
                          </w:tc>
                        </w:tr>
                        <w:tr w:rsidR="00563987" w:rsidRPr="00563987" w14:paraId="315B7261" w14:textId="77777777">
                          <w:trPr>
                            <w:tblCellSpacing w:w="7" w:type="dxa"/>
                          </w:trPr>
                          <w:tc>
                            <w:tcPr>
                              <w:tcW w:w="0" w:type="auto"/>
                              <w:shd w:val="clear" w:color="auto" w:fill="FFFFFF"/>
                              <w:hideMark/>
                            </w:tcPr>
                            <w:p w14:paraId="6A9A0269" w14:textId="77777777" w:rsidR="00563987" w:rsidRPr="00563987" w:rsidRDefault="00563987" w:rsidP="00563987">
                              <w:pPr>
                                <w:rPr>
                                  <w:rFonts w:eastAsiaTheme="minorHAnsi"/>
                                </w:rPr>
                              </w:pPr>
                              <w:r w:rsidRPr="00563987">
                                <w:rPr>
                                  <w:rFonts w:eastAsiaTheme="minorHAnsi"/>
                                  <w:b/>
                                  <w:bCs/>
                                </w:rPr>
                                <w:t>Acute pharmacodynamic effect</w:t>
                              </w:r>
                              <w:r w:rsidRPr="00563987">
                                <w:rPr>
                                  <w:rFonts w:eastAsiaTheme="minorHAnsi"/>
                                </w:rPr>
                                <w:t xml:space="preserve">  </w:t>
                              </w:r>
                            </w:p>
                          </w:tc>
                        </w:tr>
                        <w:tr w:rsidR="00563987" w:rsidRPr="00563987" w14:paraId="538F0DC3" w14:textId="77777777">
                          <w:trPr>
                            <w:tblCellSpacing w:w="7" w:type="dxa"/>
                          </w:trPr>
                          <w:tc>
                            <w:tcPr>
                              <w:tcW w:w="0" w:type="auto"/>
                              <w:shd w:val="clear" w:color="auto" w:fill="FFFFFF"/>
                              <w:hideMark/>
                            </w:tcPr>
                            <w:p w14:paraId="1C3FB853" w14:textId="77777777" w:rsidR="00563987" w:rsidRPr="00563987" w:rsidRDefault="00563987" w:rsidP="00563987">
                              <w:pPr>
                                <w:rPr>
                                  <w:rFonts w:eastAsiaTheme="minorHAnsi"/>
                                </w:rPr>
                              </w:pPr>
                              <w:r w:rsidRPr="00563987">
                                <w:rPr>
                                  <w:rFonts w:eastAsiaTheme="minorHAnsi"/>
                                </w:rPr>
                                <w:t>  Maximum pharmacodynamic effect (</w:t>
                              </w:r>
                              <w:r w:rsidRPr="00563987">
                                <w:rPr>
                                  <w:rFonts w:eastAsiaTheme="minorHAnsi"/>
                                  <w:i/>
                                  <w:iCs/>
                                </w:rPr>
                                <w:t>E</w:t>
                              </w:r>
                              <w:r w:rsidRPr="00563987">
                                <w:rPr>
                                  <w:rFonts w:eastAsiaTheme="minorHAnsi"/>
                                </w:rPr>
                                <w:t xml:space="preserve"> </w:t>
                              </w:r>
                              <w:r w:rsidRPr="00563987">
                                <w:rPr>
                                  <w:rFonts w:eastAsiaTheme="minorHAnsi"/>
                                  <w:vertAlign w:val="subscript"/>
                                </w:rPr>
                                <w:t>max</w:t>
                              </w:r>
                              <w:r w:rsidRPr="00563987">
                                <w:rPr>
                                  <w:rFonts w:eastAsiaTheme="minorHAnsi"/>
                                </w:rPr>
                                <w:t>)</w:t>
                              </w:r>
                              <w:r w:rsidRPr="00563987">
                                <w:rPr>
                                  <w:rFonts w:eastAsiaTheme="minorHAnsi"/>
                                </w:rPr>
                                <w:br/>
                                <w:t> </w:t>
                              </w:r>
                            </w:p>
                          </w:tc>
                        </w:tr>
                        <w:tr w:rsidR="00563987" w:rsidRPr="00563987" w14:paraId="218D14D4" w14:textId="77777777">
                          <w:trPr>
                            <w:tblCellSpacing w:w="7" w:type="dxa"/>
                          </w:trPr>
                          <w:tc>
                            <w:tcPr>
                              <w:tcW w:w="0" w:type="auto"/>
                              <w:shd w:val="clear" w:color="auto" w:fill="FFFFFF"/>
                              <w:hideMark/>
                            </w:tcPr>
                            <w:p w14:paraId="320FC1DD" w14:textId="77777777" w:rsidR="00563987" w:rsidRPr="00563987" w:rsidRDefault="00563987" w:rsidP="00563987">
                              <w:pPr>
                                <w:rPr>
                                  <w:rFonts w:eastAsiaTheme="minorHAnsi"/>
                                </w:rPr>
                              </w:pPr>
                              <w:r w:rsidRPr="00563987">
                                <w:rPr>
                                  <w:rFonts w:eastAsiaTheme="minorHAnsi"/>
                                </w:rPr>
                                <w:t>  Time for maximum pharmacodynamic effect</w:t>
                              </w:r>
                            </w:p>
                          </w:tc>
                        </w:tr>
                        <w:tr w:rsidR="00563987" w:rsidRPr="00563987" w14:paraId="7FF91B6F" w14:textId="77777777">
                          <w:trPr>
                            <w:tblCellSpacing w:w="7" w:type="dxa"/>
                          </w:trPr>
                          <w:tc>
                            <w:tcPr>
                              <w:tcW w:w="0" w:type="auto"/>
                              <w:shd w:val="clear" w:color="auto" w:fill="FFFFFF"/>
                              <w:hideMark/>
                            </w:tcPr>
                            <w:p w14:paraId="3C64BED1" w14:textId="77777777" w:rsidR="00563987" w:rsidRPr="00563987" w:rsidRDefault="00563987" w:rsidP="00563987">
                              <w:pPr>
                                <w:rPr>
                                  <w:rFonts w:eastAsiaTheme="minorHAnsi"/>
                                </w:rPr>
                              </w:pPr>
                              <w:r w:rsidRPr="00563987">
                                <w:rPr>
                                  <w:rFonts w:eastAsiaTheme="minorHAnsi"/>
                                </w:rPr>
                                <w:t>  Area under the pharmacodynamic effect–time curve</w:t>
                              </w:r>
                            </w:p>
                          </w:tc>
                        </w:tr>
                        <w:tr w:rsidR="00563987" w:rsidRPr="00563987" w14:paraId="617F1058" w14:textId="77777777">
                          <w:trPr>
                            <w:tblCellSpacing w:w="7" w:type="dxa"/>
                          </w:trPr>
                          <w:tc>
                            <w:tcPr>
                              <w:tcW w:w="0" w:type="auto"/>
                              <w:shd w:val="clear" w:color="auto" w:fill="FFFFFF"/>
                              <w:hideMark/>
                            </w:tcPr>
                            <w:p w14:paraId="129E646B" w14:textId="77777777" w:rsidR="00563987" w:rsidRPr="00563987" w:rsidRDefault="00563987" w:rsidP="00563987">
                              <w:pPr>
                                <w:rPr>
                                  <w:rFonts w:eastAsiaTheme="minorHAnsi"/>
                                </w:rPr>
                              </w:pPr>
                              <w:r w:rsidRPr="00563987">
                                <w:rPr>
                                  <w:rFonts w:eastAsiaTheme="minorHAnsi"/>
                                </w:rPr>
                                <w:t>  Onset time for pharmacodynamic effect</w:t>
                              </w:r>
                            </w:p>
                          </w:tc>
                        </w:tr>
                        <w:tr w:rsidR="00563987" w:rsidRPr="00563987" w14:paraId="211117C1" w14:textId="77777777">
                          <w:trPr>
                            <w:tblCellSpacing w:w="7" w:type="dxa"/>
                          </w:trPr>
                          <w:tc>
                            <w:tcPr>
                              <w:tcW w:w="0" w:type="auto"/>
                              <w:shd w:val="clear" w:color="auto" w:fill="FFFFFF"/>
                              <w:hideMark/>
                            </w:tcPr>
                            <w:p w14:paraId="62A2F801" w14:textId="77777777" w:rsidR="00563987" w:rsidRPr="00563987" w:rsidRDefault="00563987" w:rsidP="00563987">
                              <w:pPr>
                                <w:rPr>
                                  <w:rFonts w:eastAsiaTheme="minorHAnsi"/>
                                </w:rPr>
                              </w:pPr>
                              <w:r w:rsidRPr="00563987">
                                <w:rPr>
                                  <w:rFonts w:eastAsiaTheme="minorHAnsi"/>
                                  <w:b/>
                                  <w:bCs/>
                                </w:rPr>
                                <w:t>Clinical observations</w:t>
                              </w:r>
                              <w:r w:rsidRPr="00563987">
                                <w:rPr>
                                  <w:rFonts w:eastAsiaTheme="minorHAnsi"/>
                                </w:rPr>
                                <w:t xml:space="preserve">  </w:t>
                              </w:r>
                            </w:p>
                          </w:tc>
                        </w:tr>
                        <w:tr w:rsidR="00563987" w:rsidRPr="00563987" w14:paraId="6844765B" w14:textId="77777777">
                          <w:trPr>
                            <w:tblCellSpacing w:w="7" w:type="dxa"/>
                          </w:trPr>
                          <w:tc>
                            <w:tcPr>
                              <w:tcW w:w="0" w:type="auto"/>
                              <w:shd w:val="clear" w:color="auto" w:fill="FFFFFF"/>
                              <w:hideMark/>
                            </w:tcPr>
                            <w:p w14:paraId="27C91557" w14:textId="77777777" w:rsidR="00563987" w:rsidRPr="00563987" w:rsidRDefault="00563987" w:rsidP="00563987">
                              <w:pPr>
                                <w:rPr>
                                  <w:rFonts w:eastAsiaTheme="minorHAnsi"/>
                                </w:rPr>
                              </w:pPr>
                              <w:r w:rsidRPr="00563987">
                                <w:rPr>
                                  <w:rFonts w:eastAsiaTheme="minorHAnsi"/>
                                </w:rPr>
                                <w:t>  Well-controlled clinical trials</w:t>
                              </w:r>
                            </w:p>
                          </w:tc>
                        </w:tr>
                        <w:tr w:rsidR="00563987" w:rsidRPr="00563987" w14:paraId="58C0F0F0" w14:textId="77777777">
                          <w:trPr>
                            <w:tblCellSpacing w:w="7" w:type="dxa"/>
                          </w:trPr>
                          <w:tc>
                            <w:tcPr>
                              <w:tcW w:w="0" w:type="auto"/>
                              <w:shd w:val="clear" w:color="auto" w:fill="FFFFFF"/>
                              <w:hideMark/>
                            </w:tcPr>
                            <w:p w14:paraId="257D7367" w14:textId="77777777" w:rsidR="00563987" w:rsidRPr="00563987" w:rsidRDefault="00563987" w:rsidP="00563987">
                              <w:pPr>
                                <w:rPr>
                                  <w:rFonts w:eastAsiaTheme="minorHAnsi"/>
                                </w:rPr>
                              </w:pPr>
                              <w:r w:rsidRPr="00563987">
                                <w:rPr>
                                  <w:rFonts w:eastAsiaTheme="minorHAnsi"/>
                                  <w:b/>
                                  <w:bCs/>
                                  <w:i/>
                                  <w:iCs/>
                                </w:rPr>
                                <w:t>In-vitro</w:t>
                              </w:r>
                              <w:r w:rsidRPr="00563987">
                                <w:rPr>
                                  <w:rFonts w:eastAsiaTheme="minorHAnsi"/>
                                </w:rPr>
                                <w:t> </w:t>
                              </w:r>
                              <w:r w:rsidRPr="00563987">
                                <w:rPr>
                                  <w:rFonts w:eastAsiaTheme="minorHAnsi"/>
                                  <w:b/>
                                  <w:bCs/>
                                </w:rPr>
                                <w:t>studies</w:t>
                              </w:r>
                              <w:r w:rsidRPr="00563987">
                                <w:rPr>
                                  <w:rFonts w:eastAsiaTheme="minorHAnsi"/>
                                </w:rPr>
                                <w:t xml:space="preserve">  </w:t>
                              </w:r>
                            </w:p>
                          </w:tc>
                        </w:tr>
                        <w:tr w:rsidR="00563987" w:rsidRPr="00563987" w14:paraId="6AB02465" w14:textId="77777777">
                          <w:trPr>
                            <w:tblCellSpacing w:w="7" w:type="dxa"/>
                          </w:trPr>
                          <w:tc>
                            <w:tcPr>
                              <w:tcW w:w="0" w:type="auto"/>
                              <w:shd w:val="clear" w:color="auto" w:fill="FFFFFF"/>
                              <w:hideMark/>
                            </w:tcPr>
                            <w:p w14:paraId="7CE7FBB4" w14:textId="77777777" w:rsidR="00563987" w:rsidRPr="00563987" w:rsidRDefault="00563987" w:rsidP="00563987">
                              <w:pPr>
                                <w:rPr>
                                  <w:rFonts w:eastAsiaTheme="minorHAnsi"/>
                                </w:rPr>
                              </w:pPr>
                              <w:r w:rsidRPr="00563987">
                                <w:rPr>
                                  <w:rFonts w:eastAsiaTheme="minorHAnsi"/>
                                </w:rPr>
                                <w:t>  Drug dissolution</w:t>
                              </w:r>
                            </w:p>
                          </w:tc>
                        </w:tr>
                      </w:tbl>
                      <w:p w14:paraId="02712836" w14:textId="77777777" w:rsidR="00563987" w:rsidRPr="00563987" w:rsidRDefault="00563987" w:rsidP="00563987">
                        <w:pPr>
                          <w:rPr>
                            <w:rFonts w:eastAsiaTheme="minorHAnsi"/>
                          </w:rPr>
                        </w:pPr>
                      </w:p>
                    </w:tc>
                  </w:tr>
                  <w:tr w:rsidR="00563987" w:rsidRPr="00563987" w14:paraId="4997E555" w14:textId="77777777">
                    <w:trPr>
                      <w:tblCellSpacing w:w="0" w:type="dxa"/>
                    </w:trPr>
                    <w:tc>
                      <w:tcPr>
                        <w:tcW w:w="0" w:type="auto"/>
                        <w:shd w:val="clear" w:color="auto" w:fill="FFFFFF"/>
                        <w:vAlign w:val="center"/>
                        <w:hideMark/>
                      </w:tcPr>
                      <w:p w14:paraId="5631A51B" w14:textId="77777777" w:rsidR="00563987" w:rsidRPr="00563987" w:rsidRDefault="00563987" w:rsidP="00563987">
                        <w:pPr>
                          <w:rPr>
                            <w:rFonts w:eastAsiaTheme="minorHAnsi"/>
                          </w:rPr>
                        </w:pPr>
                      </w:p>
                    </w:tc>
                  </w:tr>
                </w:tbl>
                <w:p w14:paraId="6345D6A0" w14:textId="77777777" w:rsidR="00563987" w:rsidRPr="00563987" w:rsidRDefault="00563987" w:rsidP="00563987">
                  <w:pPr>
                    <w:rPr>
                      <w:rFonts w:eastAsiaTheme="minorHAnsi"/>
                    </w:rPr>
                  </w:pPr>
                  <w:bookmarkStart w:id="46" w:name="2481672"/>
                  <w:bookmarkEnd w:id="46"/>
                  <w:r w:rsidRPr="00563987">
                    <w:rPr>
                      <w:rFonts w:eastAsiaTheme="minorHAnsi"/>
                    </w:rPr>
                    <w:t>Plasma Drug Concentration</w:t>
                  </w:r>
                </w:p>
                <w:p w14:paraId="0947B5C9" w14:textId="77777777" w:rsidR="00563987" w:rsidRPr="00563987" w:rsidRDefault="00563987" w:rsidP="00563987">
                  <w:pPr>
                    <w:rPr>
                      <w:rFonts w:eastAsiaTheme="minorHAnsi"/>
                    </w:rPr>
                  </w:pPr>
                  <w:bookmarkStart w:id="47" w:name="2481673"/>
                  <w:bookmarkEnd w:id="47"/>
                  <w:r w:rsidRPr="00563987">
                    <w:rPr>
                      <w:rFonts w:eastAsiaTheme="minorHAnsi"/>
                    </w:rPr>
                    <w:t>Measurement of drug concentrations in blood, plasma, or serum after drug administration is the most direct and objective way to determine systemic drug bioavailability. By appropriate blood sampling, an accurate description of the plasma drug concentration–time profile of the therapeutically active drug substance(s) can be obtained using a validated drug assay.</w:t>
                  </w:r>
                </w:p>
                <w:p w14:paraId="1F158496" w14:textId="77777777" w:rsidR="00563987" w:rsidRPr="00563987" w:rsidRDefault="00563987" w:rsidP="00563987">
                  <w:pPr>
                    <w:rPr>
                      <w:rFonts w:eastAsiaTheme="minorHAnsi"/>
                    </w:rPr>
                  </w:pPr>
                  <w:r w:rsidRPr="00563987">
                    <w:rPr>
                      <w:rFonts w:eastAsiaTheme="minorHAnsi"/>
                      <w:b/>
                      <w:bCs/>
                      <w:i/>
                      <w:iCs/>
                    </w:rPr>
                    <w:t>t</w:t>
                  </w:r>
                  <w:r w:rsidRPr="00563987">
                    <w:rPr>
                      <w:rFonts w:eastAsiaTheme="minorHAnsi"/>
                    </w:rPr>
                    <w:t xml:space="preserve"> </w:t>
                  </w:r>
                  <w:r w:rsidRPr="00563987">
                    <w:rPr>
                      <w:rFonts w:eastAsiaTheme="minorHAnsi"/>
                      <w:vertAlign w:val="subscript"/>
                    </w:rPr>
                    <w:t>max</w:t>
                  </w:r>
                  <w:r w:rsidRPr="00563987">
                    <w:rPr>
                      <w:rFonts w:eastAsiaTheme="minorHAnsi"/>
                      <w:b/>
                      <w:bCs/>
                    </w:rPr>
                    <w:t>.</w:t>
                  </w:r>
                  <w:r w:rsidRPr="00563987">
                    <w:rPr>
                      <w:rFonts w:eastAsiaTheme="minorHAnsi"/>
                    </w:rPr>
                    <w:t xml:space="preserve"> The </w:t>
                  </w:r>
                  <w:r w:rsidRPr="00563987">
                    <w:rPr>
                      <w:rFonts w:eastAsiaTheme="minorHAnsi"/>
                      <w:i/>
                      <w:iCs/>
                    </w:rPr>
                    <w:t>time of peak plasma concentration</w:t>
                  </w:r>
                  <w:r w:rsidRPr="00563987">
                    <w:rPr>
                      <w:rFonts w:eastAsiaTheme="minorHAnsi"/>
                    </w:rPr>
                    <w:t xml:space="preserv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corresponds to the time required to reach maximum drug concentration after drug administration. At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peak drug absorption occurs and the rate of drug absorption exactly equals the rate of drug elimination (). Drug absorption still continues after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is reached, but at a slower rate. When comparing drug products,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can be used as an approximate indication of drug absorption rate. The value for </w:t>
                  </w:r>
                  <w:proofErr w:type="spellStart"/>
                  <w:r w:rsidRPr="00563987">
                    <w:rPr>
                      <w:rFonts w:eastAsiaTheme="minorHAnsi"/>
                    </w:rPr>
                    <w:t>t</w:t>
                  </w:r>
                  <w:r w:rsidRPr="00563987">
                    <w:rPr>
                      <w:rFonts w:eastAsiaTheme="minorHAnsi"/>
                      <w:vertAlign w:val="subscript"/>
                    </w:rPr>
                    <w:t>max</w:t>
                  </w:r>
                  <w:proofErr w:type="spellEnd"/>
                  <w:r w:rsidRPr="00563987">
                    <w:rPr>
                      <w:rFonts w:eastAsiaTheme="minorHAnsi"/>
                    </w:rPr>
                    <w:t xml:space="preserve"> will become smaller (indicating less time required to reach peak plasma concentration) as the absorption rate for the drug becomes more rapid. Units for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are units of time (</w:t>
                  </w:r>
                  <w:proofErr w:type="spellStart"/>
                  <w:r w:rsidRPr="00563987">
                    <w:rPr>
                      <w:rFonts w:eastAsiaTheme="minorHAnsi"/>
                    </w:rPr>
                    <w:t>eg</w:t>
                  </w:r>
                  <w:proofErr w:type="spellEnd"/>
                  <w:r w:rsidRPr="00563987">
                    <w:rPr>
                      <w:rFonts w:eastAsiaTheme="minorHAnsi"/>
                    </w:rPr>
                    <w:t xml:space="preserve">, hours, minutes). </w:t>
                  </w:r>
                </w:p>
                <w:p w14:paraId="178C3A8C" w14:textId="77777777" w:rsidR="00563987" w:rsidRPr="00563987" w:rsidRDefault="00563987" w:rsidP="00563987">
                  <w:pPr>
                    <w:rPr>
                      <w:rFonts w:eastAsiaTheme="minorHAnsi"/>
                    </w:rPr>
                  </w:pPr>
                  <w:r w:rsidRPr="00563987">
                    <w:rPr>
                      <w:rFonts w:eastAsiaTheme="minorHAnsi"/>
                      <w:b/>
                      <w:bCs/>
                      <w:i/>
                      <w:iCs/>
                    </w:rPr>
                    <w:lastRenderedPageBreak/>
                    <w:t>C</w:t>
                  </w:r>
                  <w:r w:rsidRPr="00563987">
                    <w:rPr>
                      <w:rFonts w:eastAsiaTheme="minorHAnsi"/>
                    </w:rPr>
                    <w:t xml:space="preserve"> </w:t>
                  </w:r>
                  <w:r w:rsidRPr="00563987">
                    <w:rPr>
                      <w:rFonts w:eastAsiaTheme="minorHAnsi"/>
                      <w:vertAlign w:val="subscript"/>
                    </w:rPr>
                    <w:t>max</w:t>
                  </w:r>
                  <w:r w:rsidRPr="00563987">
                    <w:rPr>
                      <w:rFonts w:eastAsiaTheme="minorHAnsi"/>
                      <w:b/>
                      <w:bCs/>
                    </w:rPr>
                    <w:t>.</w:t>
                  </w:r>
                  <w:r w:rsidRPr="00563987">
                    <w:rPr>
                      <w:rFonts w:eastAsiaTheme="minorHAnsi"/>
                    </w:rPr>
                    <w:t xml:space="preserve"> The </w:t>
                  </w:r>
                  <w:r w:rsidRPr="00563987">
                    <w:rPr>
                      <w:rFonts w:eastAsiaTheme="minorHAnsi"/>
                      <w:i/>
                      <w:iCs/>
                    </w:rPr>
                    <w:t>peak plasma drug concentration</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represents the maximum plasma drug concentration obtained after oral administration of drug. For many drugs, a relationship is found between the pharmacodynamic drug effect and the plasma drug concentration.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provides indications that the drug is sufficiently systemically absorbed to provide a therapeutic response. In addition,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provides warning of possibly toxic levels of drug. The units of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are concentration units (</w:t>
                  </w:r>
                  <w:proofErr w:type="spellStart"/>
                  <w:r w:rsidRPr="00563987">
                    <w:rPr>
                      <w:rFonts w:eastAsiaTheme="minorHAnsi"/>
                    </w:rPr>
                    <w:t>eg</w:t>
                  </w:r>
                  <w:proofErr w:type="spellEnd"/>
                  <w:r w:rsidRPr="00563987">
                    <w:rPr>
                      <w:rFonts w:eastAsiaTheme="minorHAnsi"/>
                    </w:rPr>
                    <w:t xml:space="preserve">, mg/mL, ng/mL). Although not a unit for rate,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is often used in bioequivalence studies as a surrogate measure for the rate of drug bioavailability. </w:t>
                  </w:r>
                </w:p>
                <w:p w14:paraId="79AECE58" w14:textId="77777777" w:rsidR="00563987" w:rsidRPr="00563987" w:rsidRDefault="00563987" w:rsidP="00563987">
                  <w:pPr>
                    <w:rPr>
                      <w:rFonts w:eastAsiaTheme="minorHAnsi"/>
                    </w:rPr>
                  </w:pPr>
                  <w:r w:rsidRPr="00563987">
                    <w:rPr>
                      <w:rFonts w:eastAsiaTheme="minorHAnsi"/>
                      <w:b/>
                      <w:bCs/>
                      <w:i/>
                      <w:iCs/>
                    </w:rPr>
                    <w:t>AUC.</w:t>
                  </w:r>
                  <w:r w:rsidRPr="00563987">
                    <w:rPr>
                      <w:rFonts w:eastAsiaTheme="minorHAnsi"/>
                    </w:rPr>
                    <w:t xml:space="preserve"> The </w:t>
                  </w:r>
                  <w:r w:rsidRPr="00563987">
                    <w:rPr>
                      <w:rFonts w:eastAsiaTheme="minorHAnsi"/>
                      <w:i/>
                      <w:iCs/>
                    </w:rPr>
                    <w:t>area under the plasma level–time curve</w:t>
                  </w:r>
                  <w:r w:rsidRPr="00563987">
                    <w:rPr>
                      <w:rFonts w:eastAsiaTheme="minorHAnsi"/>
                    </w:rPr>
                    <w:t xml:space="preserve">, AUC, is a measurement of the </w:t>
                  </w:r>
                  <w:r w:rsidRPr="00563987">
                    <w:rPr>
                      <w:rFonts w:eastAsiaTheme="minorHAnsi"/>
                      <w:i/>
                      <w:iCs/>
                    </w:rPr>
                    <w:t>extent</w:t>
                  </w:r>
                  <w:r w:rsidRPr="00563987">
                    <w:rPr>
                      <w:rFonts w:eastAsiaTheme="minorHAnsi"/>
                    </w:rPr>
                    <w:t xml:space="preserve"> of drug bioavailability (). The AUC reflects the total amount of active drug that reaches the systemic circulation. The AUC is the area under the drug plasma level–time curve from </w:t>
                  </w:r>
                  <w:r w:rsidRPr="00563987">
                    <w:rPr>
                      <w:rFonts w:eastAsiaTheme="minorHAnsi"/>
                      <w:i/>
                      <w:iCs/>
                    </w:rPr>
                    <w:t>t</w:t>
                  </w:r>
                  <w:r w:rsidRPr="00563987">
                    <w:rPr>
                      <w:rFonts w:eastAsiaTheme="minorHAnsi"/>
                    </w:rPr>
                    <w:t xml:space="preserve"> = 0 to </w:t>
                  </w:r>
                  <w:r w:rsidRPr="00563987">
                    <w:rPr>
                      <w:rFonts w:eastAsiaTheme="minorHAnsi"/>
                      <w:i/>
                      <w:iCs/>
                    </w:rPr>
                    <w:t xml:space="preserve">t </w:t>
                  </w:r>
                  <w:r w:rsidRPr="00563987">
                    <w:rPr>
                      <w:rFonts w:eastAsiaTheme="minorHAnsi"/>
                    </w:rPr>
                    <w:t xml:space="preserve">= ∞, and is equal to the amount of unchanged drug reaching the general circulation divided by the clearance. </w:t>
                  </w:r>
                </w:p>
                <w:p w14:paraId="422EFCBB" w14:textId="6A5F23C5" w:rsidR="00563987" w:rsidRPr="00563987" w:rsidRDefault="00563987" w:rsidP="00563987">
                  <w:pPr>
                    <w:rPr>
                      <w:rFonts w:eastAsiaTheme="minorHAnsi"/>
                    </w:rPr>
                  </w:pPr>
                  <w:bookmarkStart w:id="48" w:name="2481895"/>
                  <w:bookmarkEnd w:id="48"/>
                  <w:r w:rsidRPr="00563987">
                    <w:rPr>
                      <w:rFonts w:eastAsiaTheme="minorHAnsi"/>
                      <w:noProof/>
                    </w:rPr>
                    <mc:AlternateContent>
                      <mc:Choice Requires="wps">
                        <w:drawing>
                          <wp:inline distT="0" distB="0" distL="0" distR="0" wp14:anchorId="3682CD69" wp14:editId="6F31F3B4">
                            <wp:extent cx="304800" cy="304800"/>
                            <wp:effectExtent l="0" t="0" r="0" b="0"/>
                            <wp:docPr id="1698238330"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A6EC1" id="Rectangle 1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A26807" w14:textId="5A1F70E5" w:rsidR="00563987" w:rsidRPr="00563987" w:rsidRDefault="00563987" w:rsidP="00563987">
                  <w:pPr>
                    <w:rPr>
                      <w:rFonts w:eastAsiaTheme="minorHAnsi"/>
                    </w:rPr>
                  </w:pPr>
                  <w:r w:rsidRPr="00563987">
                    <w:rPr>
                      <w:rFonts w:eastAsiaTheme="minorHAnsi"/>
                    </w:rPr>
                    <w:t xml:space="preserve">where </w:t>
                  </w:r>
                  <w:r w:rsidRPr="00563987">
                    <w:rPr>
                      <w:rFonts w:eastAsiaTheme="minorHAnsi"/>
                      <w:i/>
                      <w:iCs/>
                    </w:rPr>
                    <w:t>F</w:t>
                  </w:r>
                  <w:r w:rsidRPr="00563987">
                    <w:rPr>
                      <w:rFonts w:eastAsiaTheme="minorHAnsi"/>
                    </w:rPr>
                    <w:t xml:space="preserve"> = fraction of dose absorbed, </w:t>
                  </w:r>
                  <w:r w:rsidRPr="00563987">
                    <w:rPr>
                      <w:rFonts w:eastAsiaTheme="minorHAnsi"/>
                      <w:i/>
                      <w:iCs/>
                    </w:rPr>
                    <w:t>D</w:t>
                  </w:r>
                  <w:r w:rsidRPr="00563987">
                    <w:rPr>
                      <w:rFonts w:eastAsiaTheme="minorHAnsi"/>
                    </w:rPr>
                    <w:t xml:space="preserve"> </w:t>
                  </w:r>
                  <w:r w:rsidRPr="00563987">
                    <w:rPr>
                      <w:rFonts w:eastAsiaTheme="minorHAnsi"/>
                      <w:vertAlign w:val="subscript"/>
                    </w:rPr>
                    <w:t>0</w:t>
                  </w:r>
                  <w:r w:rsidRPr="00563987">
                    <w:rPr>
                      <w:rFonts w:eastAsiaTheme="minorHAnsi"/>
                    </w:rPr>
                    <w:t xml:space="preserve"> = dose, </w:t>
                  </w:r>
                  <w:r w:rsidRPr="00563987">
                    <w:rPr>
                      <w:rFonts w:eastAsiaTheme="minorHAnsi"/>
                      <w:i/>
                      <w:iCs/>
                    </w:rPr>
                    <w:t>k</w:t>
                  </w:r>
                  <w:r w:rsidRPr="00563987">
                    <w:rPr>
                      <w:rFonts w:eastAsiaTheme="minorHAnsi"/>
                    </w:rPr>
                    <w:t xml:space="preserve"> = elimination rate constant, and </w:t>
                  </w:r>
                  <w:r w:rsidRPr="00563987">
                    <w:rPr>
                      <w:rFonts w:eastAsiaTheme="minorHAnsi"/>
                      <w:i/>
                      <w:iCs/>
                    </w:rPr>
                    <w:t>V</w:t>
                  </w:r>
                  <w:r w:rsidRPr="00563987">
                    <w:rPr>
                      <w:rFonts w:eastAsiaTheme="minorHAnsi"/>
                    </w:rPr>
                    <w:t xml:space="preserve"> </w:t>
                  </w:r>
                  <w:r w:rsidRPr="00563987">
                    <w:rPr>
                      <w:rFonts w:eastAsiaTheme="minorHAnsi"/>
                      <w:vertAlign w:val="subscript"/>
                    </w:rPr>
                    <w:t>D</w:t>
                  </w:r>
                  <w:r w:rsidRPr="00563987">
                    <w:rPr>
                      <w:rFonts w:eastAsiaTheme="minorHAnsi"/>
                    </w:rPr>
                    <w:t xml:space="preserve"> = volume of distribution. The AUC is independent of the route of administration and processes of drug elimination as long as the elimination processes do not change. The AUC can be determined by a numerical integration procedure, such as the trapezoidal rule method. The units for AUC are concentration time (</w:t>
                  </w:r>
                  <w:proofErr w:type="spellStart"/>
                  <w:r w:rsidRPr="00563987">
                    <w:rPr>
                      <w:rFonts w:eastAsiaTheme="minorHAnsi"/>
                    </w:rPr>
                    <w:t>eg</w:t>
                  </w:r>
                  <w:proofErr w:type="spellEnd"/>
                  <w:r w:rsidRPr="00563987">
                    <w:rPr>
                      <w:rFonts w:eastAsiaTheme="minorHAnsi"/>
                    </w:rPr>
                    <w:t xml:space="preserve">, </w:t>
                  </w:r>
                  <w:r w:rsidRPr="00563987">
                    <w:rPr>
                      <w:rFonts w:eastAsiaTheme="minorHAnsi"/>
                      <w:noProof/>
                    </w:rPr>
                    <mc:AlternateContent>
                      <mc:Choice Requires="wps">
                        <w:drawing>
                          <wp:inline distT="0" distB="0" distL="0" distR="0" wp14:anchorId="530F120E" wp14:editId="4453B3A4">
                            <wp:extent cx="304800" cy="304800"/>
                            <wp:effectExtent l="0" t="0" r="0" b="0"/>
                            <wp:docPr id="179680161"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03D10" id="Rectangle 1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g </w:t>
                  </w:r>
                  <w:proofErr w:type="spellStart"/>
                  <w:r w:rsidRPr="00563987">
                    <w:rPr>
                      <w:rFonts w:eastAsiaTheme="minorHAnsi"/>
                    </w:rPr>
                    <w:t>hr</w:t>
                  </w:r>
                  <w:proofErr w:type="spellEnd"/>
                  <w:r w:rsidRPr="00563987">
                    <w:rPr>
                      <w:rFonts w:eastAsiaTheme="minorHAnsi"/>
                    </w:rPr>
                    <w:t xml:space="preserve">/mL). </w:t>
                  </w:r>
                </w:p>
                <w:p w14:paraId="347DA312" w14:textId="77777777" w:rsidR="00563987" w:rsidRPr="00563987" w:rsidRDefault="00563987" w:rsidP="00563987">
                  <w:pPr>
                    <w:rPr>
                      <w:rFonts w:eastAsiaTheme="minorHAnsi"/>
                    </w:rPr>
                  </w:pPr>
                  <w:r w:rsidRPr="00563987">
                    <w:rPr>
                      <w:rFonts w:eastAsiaTheme="minorHAnsi"/>
                    </w:rPr>
                    <w:t xml:space="preserve">For many drugs, the AUC is directly proportional to dose. For example, if a single dose of a drug is increased from 250 to 1000 mg, the AUC will also show a fourfold increase ( and ). </w:t>
                  </w:r>
                </w:p>
                <w:p w14:paraId="52E5AACD" w14:textId="77777777" w:rsidR="00563987" w:rsidRPr="00563987" w:rsidRDefault="00563987" w:rsidP="00563987">
                  <w:pPr>
                    <w:rPr>
                      <w:rFonts w:eastAsiaTheme="minorHAnsi"/>
                    </w:rPr>
                  </w:pPr>
                  <w:r w:rsidRPr="00563987">
                    <w:rPr>
                      <w:rFonts w:eastAsiaTheme="minorHAnsi"/>
                    </w:rPr>
                    <w:t>In some cases, the AUC is not directly proportional to the administered dose for all dosage levels. For example, as the dosage of drug is increased, one of the pathways for drug elimination may become saturated (). Drug elimination includes the processes of metabolism and excretion. Drug metabolism is an enzyme-dependent process. For drugs such as salicylate and phenytoin, continued increase of the dose causes saturation of one of the enzyme pathways for drug metabolism and consequent prolongation of the elimination half-life. The AUC thus increases disproportionally to the increase in dose, because a smaller amount of drug is being eliminated (</w:t>
                  </w:r>
                  <w:proofErr w:type="spellStart"/>
                  <w:r w:rsidRPr="00563987">
                    <w:rPr>
                      <w:rFonts w:eastAsiaTheme="minorHAnsi"/>
                    </w:rPr>
                    <w:t>ie</w:t>
                  </w:r>
                  <w:proofErr w:type="spellEnd"/>
                  <w:r w:rsidRPr="00563987">
                    <w:rPr>
                      <w:rFonts w:eastAsiaTheme="minorHAnsi"/>
                    </w:rPr>
                    <w:t xml:space="preserve">, more drug is retained). When the AUC is not directly proportional to the dose, bioavailability of the drug is difficult to evaluate because drug kinetics may be dose dependent.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592"/>
                  </w:tblGrid>
                  <w:tr w:rsidR="00563987" w:rsidRPr="00563987" w14:paraId="0175587F"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3564"/>
                        </w:tblGrid>
                        <w:tr w:rsidR="00563987" w:rsidRPr="00563987" w14:paraId="507A11FD" w14:textId="77777777">
                          <w:trPr>
                            <w:tblCellSpacing w:w="7" w:type="dxa"/>
                          </w:trPr>
                          <w:tc>
                            <w:tcPr>
                              <w:tcW w:w="0" w:type="auto"/>
                              <w:shd w:val="clear" w:color="auto" w:fill="CCCCCC"/>
                              <w:vAlign w:val="center"/>
                              <w:hideMark/>
                            </w:tcPr>
                            <w:p w14:paraId="4FD65C54" w14:textId="77777777" w:rsidR="00563987" w:rsidRPr="00563987" w:rsidRDefault="00563987" w:rsidP="00563987">
                              <w:pPr>
                                <w:rPr>
                                  <w:rFonts w:eastAsiaTheme="minorHAnsi"/>
                                </w:rPr>
                              </w:pPr>
                              <w:bookmarkStart w:id="49" w:name="2481865"/>
                              <w:bookmarkEnd w:id="49"/>
                              <w:r w:rsidRPr="00563987">
                                <w:rPr>
                                  <w:rFonts w:eastAsiaTheme="minorHAnsi"/>
                                </w:rPr>
                                <w:t>Figure 15-1.</w:t>
                              </w:r>
                            </w:p>
                            <w:p w14:paraId="6DA0E4E5" w14:textId="77777777" w:rsidR="00563987" w:rsidRPr="00563987" w:rsidRDefault="00563987" w:rsidP="00563987">
                              <w:pPr>
                                <w:rPr>
                                  <w:rFonts w:eastAsiaTheme="minorHAnsi"/>
                                </w:rPr>
                              </w:pPr>
                            </w:p>
                          </w:tc>
                        </w:tr>
                      </w:tbl>
                      <w:p w14:paraId="7610E6DB" w14:textId="77777777" w:rsidR="00563987" w:rsidRPr="00563987" w:rsidRDefault="00563987" w:rsidP="00563987">
                        <w:pPr>
                          <w:rPr>
                            <w:rFonts w:eastAsiaTheme="minorHAnsi"/>
                          </w:rPr>
                        </w:pPr>
                      </w:p>
                    </w:tc>
                  </w:tr>
                  <w:tr w:rsidR="00563987" w:rsidRPr="00563987" w14:paraId="7A97304E"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3564"/>
                        </w:tblGrid>
                        <w:tr w:rsidR="00563987" w:rsidRPr="00563987" w14:paraId="1B845454" w14:textId="77777777">
                          <w:trPr>
                            <w:tblCellSpacing w:w="7" w:type="dxa"/>
                          </w:trPr>
                          <w:tc>
                            <w:tcPr>
                              <w:tcW w:w="0" w:type="auto"/>
                              <w:shd w:val="clear" w:color="auto" w:fill="FFFFFF"/>
                              <w:vAlign w:val="center"/>
                              <w:hideMark/>
                            </w:tcPr>
                            <w:p w14:paraId="0DD0BA36" w14:textId="4FEB7803"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43485EC" wp14:editId="1FA31F10">
                                        <wp:extent cx="304800" cy="304800"/>
                                        <wp:effectExtent l="0" t="0" r="0" b="0"/>
                                        <wp:docPr id="970779690"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C6039" id="Rectangle 1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31EF33A9" w14:textId="77777777">
                          <w:trPr>
                            <w:tblCellSpacing w:w="7" w:type="dxa"/>
                          </w:trPr>
                          <w:tc>
                            <w:tcPr>
                              <w:tcW w:w="0" w:type="auto"/>
                              <w:shd w:val="clear" w:color="auto" w:fill="FFFFFF"/>
                              <w:vAlign w:val="center"/>
                              <w:hideMark/>
                            </w:tcPr>
                            <w:p w14:paraId="3EA3EE06" w14:textId="77777777" w:rsidR="00563987" w:rsidRPr="00563987" w:rsidRDefault="00563987" w:rsidP="00563987">
                              <w:pPr>
                                <w:rPr>
                                  <w:rFonts w:eastAsiaTheme="minorHAnsi"/>
                                </w:rPr>
                              </w:pPr>
                              <w:bookmarkStart w:id="50" w:name="2481866"/>
                              <w:bookmarkEnd w:id="50"/>
                              <w:r w:rsidRPr="00563987">
                                <w:rPr>
                                  <w:rFonts w:eastAsiaTheme="minorHAnsi"/>
                                </w:rPr>
                                <w:t>Plasma drug concentration–time curve.</w:t>
                              </w:r>
                            </w:p>
                          </w:tc>
                        </w:tr>
                      </w:tbl>
                      <w:p w14:paraId="409DA386" w14:textId="77777777" w:rsidR="00563987" w:rsidRPr="00563987" w:rsidRDefault="00563987" w:rsidP="00563987">
                        <w:pPr>
                          <w:rPr>
                            <w:rFonts w:eastAsiaTheme="minorHAnsi"/>
                          </w:rPr>
                        </w:pPr>
                      </w:p>
                    </w:tc>
                  </w:tr>
                </w:tbl>
                <w:p w14:paraId="15251E5E" w14:textId="77777777" w:rsidR="00563987" w:rsidRPr="00563987" w:rsidRDefault="00563987" w:rsidP="00563987">
                  <w:pPr>
                    <w:rPr>
                      <w:rFonts w:eastAsiaTheme="minorHAnsi"/>
                    </w:rPr>
                  </w:pPr>
                  <w:bookmarkStart w:id="51" w:name="2481867"/>
                  <w:bookmarkEnd w:id="51"/>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63987" w:rsidRPr="00563987" w14:paraId="36188737"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63987" w:rsidRPr="00563987" w14:paraId="07F86C33" w14:textId="77777777">
                          <w:trPr>
                            <w:tblCellSpacing w:w="7" w:type="dxa"/>
                          </w:trPr>
                          <w:tc>
                            <w:tcPr>
                              <w:tcW w:w="0" w:type="auto"/>
                              <w:shd w:val="clear" w:color="auto" w:fill="CCCCCC"/>
                              <w:vAlign w:val="center"/>
                              <w:hideMark/>
                            </w:tcPr>
                            <w:p w14:paraId="4C0AC3B4" w14:textId="77777777" w:rsidR="00563987" w:rsidRPr="00563987" w:rsidRDefault="00563987" w:rsidP="00563987">
                              <w:pPr>
                                <w:rPr>
                                  <w:rFonts w:eastAsiaTheme="minorHAnsi"/>
                                </w:rPr>
                              </w:pPr>
                              <w:r w:rsidRPr="00563987">
                                <w:rPr>
                                  <w:rFonts w:eastAsiaTheme="minorHAnsi"/>
                                </w:rPr>
                                <w:t>Figure 15-2.</w:t>
                              </w:r>
                            </w:p>
                            <w:p w14:paraId="5402BC23" w14:textId="77777777" w:rsidR="00563987" w:rsidRPr="00563987" w:rsidRDefault="00563987" w:rsidP="00563987">
                              <w:pPr>
                                <w:rPr>
                                  <w:rFonts w:eastAsiaTheme="minorHAnsi"/>
                                </w:rPr>
                              </w:pPr>
                            </w:p>
                          </w:tc>
                        </w:tr>
                      </w:tbl>
                      <w:p w14:paraId="605BA011" w14:textId="77777777" w:rsidR="00563987" w:rsidRPr="00563987" w:rsidRDefault="00563987" w:rsidP="00563987">
                        <w:pPr>
                          <w:rPr>
                            <w:rFonts w:eastAsiaTheme="minorHAnsi"/>
                          </w:rPr>
                        </w:pPr>
                      </w:p>
                    </w:tc>
                  </w:tr>
                  <w:tr w:rsidR="00563987" w:rsidRPr="00563987" w14:paraId="627B611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63987" w:rsidRPr="00563987" w14:paraId="5F695843" w14:textId="77777777">
                          <w:trPr>
                            <w:tblCellSpacing w:w="7" w:type="dxa"/>
                          </w:trPr>
                          <w:tc>
                            <w:tcPr>
                              <w:tcW w:w="0" w:type="auto"/>
                              <w:shd w:val="clear" w:color="auto" w:fill="FFFFFF"/>
                              <w:vAlign w:val="center"/>
                              <w:hideMark/>
                            </w:tcPr>
                            <w:p w14:paraId="6608170E" w14:textId="55B0161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E02523F" wp14:editId="4D447101">
                                        <wp:extent cx="304800" cy="304800"/>
                                        <wp:effectExtent l="0" t="0" r="0" b="0"/>
                                        <wp:docPr id="52606500"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AD1D1" id="Rectangle 1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34D2C9DE" w14:textId="77777777">
                          <w:trPr>
                            <w:tblCellSpacing w:w="7" w:type="dxa"/>
                          </w:trPr>
                          <w:tc>
                            <w:tcPr>
                              <w:tcW w:w="0" w:type="auto"/>
                              <w:shd w:val="clear" w:color="auto" w:fill="FFFFFF"/>
                              <w:vAlign w:val="center"/>
                              <w:hideMark/>
                            </w:tcPr>
                            <w:p w14:paraId="676BFCEC" w14:textId="77777777" w:rsidR="00563987" w:rsidRPr="00563987" w:rsidRDefault="00563987" w:rsidP="00563987">
                              <w:pPr>
                                <w:rPr>
                                  <w:rFonts w:eastAsiaTheme="minorHAnsi"/>
                                </w:rPr>
                              </w:pPr>
                              <w:bookmarkStart w:id="52" w:name="2481868"/>
                              <w:bookmarkEnd w:id="52"/>
                              <w:r w:rsidRPr="00563987">
                                <w:rPr>
                                  <w:rFonts w:eastAsiaTheme="minorHAnsi"/>
                                </w:rPr>
                                <w:t xml:space="preserve">Plasma level–time curve following administration of single doses of </w:t>
                              </w:r>
                              <w:r w:rsidRPr="00563987">
                                <w:rPr>
                                  <w:rFonts w:eastAsiaTheme="minorHAnsi"/>
                                  <w:b/>
                                  <w:bCs/>
                                </w:rPr>
                                <w:t>(A)</w:t>
                              </w:r>
                              <w:r w:rsidRPr="00563987">
                                <w:rPr>
                                  <w:rFonts w:eastAsiaTheme="minorHAnsi"/>
                                </w:rPr>
                                <w:t xml:space="preserve"> 250 mg, </w:t>
                              </w:r>
                              <w:r w:rsidRPr="00563987">
                                <w:rPr>
                                  <w:rFonts w:eastAsiaTheme="minorHAnsi"/>
                                  <w:b/>
                                  <w:bCs/>
                                </w:rPr>
                                <w:t>(B)</w:t>
                              </w:r>
                              <w:r w:rsidRPr="00563987">
                                <w:rPr>
                                  <w:rFonts w:eastAsiaTheme="minorHAnsi"/>
                                </w:rPr>
                                <w:t xml:space="preserve"> 500 mg, and </w:t>
                              </w:r>
                              <w:r w:rsidRPr="00563987">
                                <w:rPr>
                                  <w:rFonts w:eastAsiaTheme="minorHAnsi"/>
                                  <w:b/>
                                  <w:bCs/>
                                </w:rPr>
                                <w:t>(C)</w:t>
                              </w:r>
                              <w:r w:rsidRPr="00563987">
                                <w:rPr>
                                  <w:rFonts w:eastAsiaTheme="minorHAnsi"/>
                                </w:rPr>
                                <w:t xml:space="preserve"> 1000 mg of drug.</w:t>
                              </w:r>
                            </w:p>
                          </w:tc>
                        </w:tr>
                      </w:tbl>
                      <w:p w14:paraId="15972537" w14:textId="77777777" w:rsidR="00563987" w:rsidRPr="00563987" w:rsidRDefault="00563987" w:rsidP="00563987">
                        <w:pPr>
                          <w:rPr>
                            <w:rFonts w:eastAsiaTheme="minorHAnsi"/>
                          </w:rPr>
                        </w:pPr>
                      </w:p>
                    </w:tc>
                  </w:tr>
                </w:tbl>
                <w:p w14:paraId="32493681" w14:textId="77777777" w:rsidR="00563987" w:rsidRPr="00563987" w:rsidRDefault="00563987" w:rsidP="00563987">
                  <w:pPr>
                    <w:rPr>
                      <w:rFonts w:eastAsiaTheme="minorHAnsi"/>
                    </w:rPr>
                  </w:pPr>
                  <w:bookmarkStart w:id="53" w:name="2481869"/>
                  <w:bookmarkEnd w:id="5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113"/>
                  </w:tblGrid>
                  <w:tr w:rsidR="00563987" w:rsidRPr="00563987" w14:paraId="453232E4"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085"/>
                        </w:tblGrid>
                        <w:tr w:rsidR="00563987" w:rsidRPr="00563987" w14:paraId="357D9E94" w14:textId="77777777">
                          <w:trPr>
                            <w:tblCellSpacing w:w="7" w:type="dxa"/>
                          </w:trPr>
                          <w:tc>
                            <w:tcPr>
                              <w:tcW w:w="0" w:type="auto"/>
                              <w:shd w:val="clear" w:color="auto" w:fill="CCCCCC"/>
                              <w:vAlign w:val="center"/>
                              <w:hideMark/>
                            </w:tcPr>
                            <w:p w14:paraId="3DBCC9B5" w14:textId="77777777" w:rsidR="00563987" w:rsidRPr="00563987" w:rsidRDefault="00563987" w:rsidP="00563987">
                              <w:pPr>
                                <w:rPr>
                                  <w:rFonts w:eastAsiaTheme="minorHAnsi"/>
                                </w:rPr>
                              </w:pPr>
                              <w:r w:rsidRPr="00563987">
                                <w:rPr>
                                  <w:rFonts w:eastAsiaTheme="minorHAnsi"/>
                                </w:rPr>
                                <w:t>Figure 15-3.</w:t>
                              </w:r>
                            </w:p>
                            <w:p w14:paraId="0E92EC3D" w14:textId="77777777" w:rsidR="00563987" w:rsidRPr="00563987" w:rsidRDefault="00563987" w:rsidP="00563987">
                              <w:pPr>
                                <w:rPr>
                                  <w:rFonts w:eastAsiaTheme="minorHAnsi"/>
                                </w:rPr>
                              </w:pPr>
                            </w:p>
                          </w:tc>
                        </w:tr>
                      </w:tbl>
                      <w:p w14:paraId="2F395302" w14:textId="77777777" w:rsidR="00563987" w:rsidRPr="00563987" w:rsidRDefault="00563987" w:rsidP="00563987">
                        <w:pPr>
                          <w:rPr>
                            <w:rFonts w:eastAsiaTheme="minorHAnsi"/>
                          </w:rPr>
                        </w:pPr>
                      </w:p>
                    </w:tc>
                  </w:tr>
                  <w:tr w:rsidR="00563987" w:rsidRPr="00563987" w14:paraId="7C3C346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085"/>
                        </w:tblGrid>
                        <w:tr w:rsidR="00563987" w:rsidRPr="00563987" w14:paraId="27DB3FA6" w14:textId="77777777">
                          <w:trPr>
                            <w:tblCellSpacing w:w="7" w:type="dxa"/>
                          </w:trPr>
                          <w:tc>
                            <w:tcPr>
                              <w:tcW w:w="0" w:type="auto"/>
                              <w:shd w:val="clear" w:color="auto" w:fill="FFFFFF"/>
                              <w:vAlign w:val="center"/>
                              <w:hideMark/>
                            </w:tcPr>
                            <w:p w14:paraId="31D73364" w14:textId="7B1A475F"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6A1A3ED5" wp14:editId="0091F96C">
                                        <wp:extent cx="304800" cy="304800"/>
                                        <wp:effectExtent l="0" t="0" r="0" b="0"/>
                                        <wp:docPr id="697062726"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30566" id="Rectangle 1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368F79B7" w14:textId="77777777">
                          <w:trPr>
                            <w:tblCellSpacing w:w="7" w:type="dxa"/>
                          </w:trPr>
                          <w:tc>
                            <w:tcPr>
                              <w:tcW w:w="0" w:type="auto"/>
                              <w:shd w:val="clear" w:color="auto" w:fill="FFFFFF"/>
                              <w:vAlign w:val="center"/>
                              <w:hideMark/>
                            </w:tcPr>
                            <w:p w14:paraId="21257F40" w14:textId="77777777" w:rsidR="00563987" w:rsidRPr="00563987" w:rsidRDefault="00563987" w:rsidP="00563987">
                              <w:pPr>
                                <w:rPr>
                                  <w:rFonts w:eastAsiaTheme="minorHAnsi"/>
                                </w:rPr>
                              </w:pPr>
                              <w:bookmarkStart w:id="54" w:name="2481870"/>
                              <w:bookmarkEnd w:id="54"/>
                              <w:r w:rsidRPr="00563987">
                                <w:rPr>
                                  <w:rFonts w:eastAsiaTheme="minorHAnsi"/>
                                </w:rPr>
                                <w:t>Linear relationship between AUC and dose (data from ).</w:t>
                              </w:r>
                            </w:p>
                          </w:tc>
                        </w:tr>
                      </w:tbl>
                      <w:p w14:paraId="393D358D" w14:textId="77777777" w:rsidR="00563987" w:rsidRPr="00563987" w:rsidRDefault="00563987" w:rsidP="00563987">
                        <w:pPr>
                          <w:rPr>
                            <w:rFonts w:eastAsiaTheme="minorHAnsi"/>
                          </w:rPr>
                        </w:pPr>
                      </w:p>
                    </w:tc>
                  </w:tr>
                </w:tbl>
                <w:p w14:paraId="2CB3D0AD" w14:textId="77777777" w:rsidR="00563987" w:rsidRPr="00563987" w:rsidRDefault="00563987" w:rsidP="00563987">
                  <w:pPr>
                    <w:rPr>
                      <w:rFonts w:eastAsiaTheme="minorHAnsi"/>
                    </w:rPr>
                  </w:pPr>
                  <w:bookmarkStart w:id="55" w:name="2481871"/>
                  <w:bookmarkEnd w:id="55"/>
                </w:p>
                <w:tbl>
                  <w:tblPr>
                    <w:tblW w:w="0" w:type="auto"/>
                    <w:tblCellSpacing w:w="7" w:type="dxa"/>
                    <w:shd w:val="clear" w:color="auto" w:fill="999999"/>
                    <w:tblCellMar>
                      <w:left w:w="0" w:type="dxa"/>
                      <w:right w:w="0" w:type="dxa"/>
                    </w:tblCellMar>
                    <w:tblLook w:val="04A0" w:firstRow="1" w:lastRow="0" w:firstColumn="1" w:lastColumn="0" w:noHBand="0" w:noVBand="1"/>
                  </w:tblPr>
                  <w:tblGrid>
                    <w:gridCol w:w="6116"/>
                  </w:tblGrid>
                  <w:tr w:rsidR="00563987" w:rsidRPr="00563987" w14:paraId="288D560E"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6088"/>
                        </w:tblGrid>
                        <w:tr w:rsidR="00563987" w:rsidRPr="00563987" w14:paraId="2F95F820" w14:textId="77777777">
                          <w:trPr>
                            <w:tblCellSpacing w:w="7" w:type="dxa"/>
                          </w:trPr>
                          <w:tc>
                            <w:tcPr>
                              <w:tcW w:w="0" w:type="auto"/>
                              <w:shd w:val="clear" w:color="auto" w:fill="CCCCCC"/>
                              <w:vAlign w:val="center"/>
                              <w:hideMark/>
                            </w:tcPr>
                            <w:p w14:paraId="09595498" w14:textId="77777777" w:rsidR="00563987" w:rsidRPr="00563987" w:rsidRDefault="00563987" w:rsidP="00563987">
                              <w:pPr>
                                <w:rPr>
                                  <w:rFonts w:eastAsiaTheme="minorHAnsi"/>
                                </w:rPr>
                              </w:pPr>
                              <w:r w:rsidRPr="00563987">
                                <w:rPr>
                                  <w:rFonts w:eastAsiaTheme="minorHAnsi"/>
                                </w:rPr>
                                <w:t>Figure 15-4.</w:t>
                              </w:r>
                            </w:p>
                            <w:p w14:paraId="430EF33B" w14:textId="77777777" w:rsidR="00563987" w:rsidRPr="00563987" w:rsidRDefault="00563987" w:rsidP="00563987">
                              <w:pPr>
                                <w:rPr>
                                  <w:rFonts w:eastAsiaTheme="minorHAnsi"/>
                                </w:rPr>
                              </w:pPr>
                            </w:p>
                          </w:tc>
                        </w:tr>
                      </w:tbl>
                      <w:p w14:paraId="275CA75D" w14:textId="77777777" w:rsidR="00563987" w:rsidRPr="00563987" w:rsidRDefault="00563987" w:rsidP="00563987">
                        <w:pPr>
                          <w:rPr>
                            <w:rFonts w:eastAsiaTheme="minorHAnsi"/>
                          </w:rPr>
                        </w:pPr>
                      </w:p>
                    </w:tc>
                  </w:tr>
                  <w:tr w:rsidR="00563987" w:rsidRPr="00563987" w14:paraId="7E7343E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6088"/>
                        </w:tblGrid>
                        <w:tr w:rsidR="00563987" w:rsidRPr="00563987" w14:paraId="7F267B1B" w14:textId="77777777">
                          <w:trPr>
                            <w:tblCellSpacing w:w="7" w:type="dxa"/>
                          </w:trPr>
                          <w:tc>
                            <w:tcPr>
                              <w:tcW w:w="0" w:type="auto"/>
                              <w:shd w:val="clear" w:color="auto" w:fill="FFFFFF"/>
                              <w:vAlign w:val="center"/>
                              <w:hideMark/>
                            </w:tcPr>
                            <w:p w14:paraId="512B2490" w14:textId="6EDBB016"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BE96CA4" wp14:editId="797A960F">
                                        <wp:extent cx="304800" cy="304800"/>
                                        <wp:effectExtent l="0" t="0" r="0" b="0"/>
                                        <wp:docPr id="1487471328"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20799" id="Rectangle 1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7965A6C5" w14:textId="77777777">
                          <w:trPr>
                            <w:tblCellSpacing w:w="7" w:type="dxa"/>
                          </w:trPr>
                          <w:tc>
                            <w:tcPr>
                              <w:tcW w:w="0" w:type="auto"/>
                              <w:shd w:val="clear" w:color="auto" w:fill="FFFFFF"/>
                              <w:vAlign w:val="center"/>
                              <w:hideMark/>
                            </w:tcPr>
                            <w:p w14:paraId="024DB000" w14:textId="77777777" w:rsidR="00563987" w:rsidRPr="00563987" w:rsidRDefault="00563987" w:rsidP="00563987">
                              <w:pPr>
                                <w:rPr>
                                  <w:rFonts w:eastAsiaTheme="minorHAnsi"/>
                                </w:rPr>
                              </w:pPr>
                              <w:bookmarkStart w:id="56" w:name="2481872"/>
                              <w:bookmarkEnd w:id="56"/>
                              <w:r w:rsidRPr="00563987">
                                <w:rPr>
                                  <w:rFonts w:eastAsiaTheme="minorHAnsi"/>
                                </w:rPr>
                                <w:t>Relationship between AUC and dose when metabolism is saturable.</w:t>
                              </w:r>
                            </w:p>
                          </w:tc>
                        </w:tr>
                      </w:tbl>
                      <w:p w14:paraId="4BBBCB4E" w14:textId="77777777" w:rsidR="00563987" w:rsidRPr="00563987" w:rsidRDefault="00563987" w:rsidP="00563987">
                        <w:pPr>
                          <w:rPr>
                            <w:rFonts w:eastAsiaTheme="minorHAnsi"/>
                          </w:rPr>
                        </w:pPr>
                      </w:p>
                    </w:tc>
                  </w:tr>
                </w:tbl>
                <w:p w14:paraId="2701DE13" w14:textId="77777777" w:rsidR="00563987" w:rsidRPr="00563987" w:rsidRDefault="00563987" w:rsidP="00563987">
                  <w:pPr>
                    <w:rPr>
                      <w:rFonts w:eastAsiaTheme="minorHAnsi"/>
                    </w:rPr>
                  </w:pPr>
                  <w:bookmarkStart w:id="57" w:name="2481674"/>
                  <w:bookmarkEnd w:id="57"/>
                  <w:r w:rsidRPr="00563987">
                    <w:rPr>
                      <w:rFonts w:eastAsiaTheme="minorHAnsi"/>
                    </w:rPr>
                    <w:t>Urinary Drug Excretion Data</w:t>
                  </w:r>
                </w:p>
                <w:p w14:paraId="0DB145DD" w14:textId="77777777" w:rsidR="00563987" w:rsidRPr="00563987" w:rsidRDefault="00563987" w:rsidP="00563987">
                  <w:pPr>
                    <w:rPr>
                      <w:rFonts w:eastAsiaTheme="minorHAnsi"/>
                    </w:rPr>
                  </w:pPr>
                  <w:bookmarkStart w:id="58" w:name="2481675"/>
                  <w:bookmarkEnd w:id="58"/>
                  <w:r w:rsidRPr="00563987">
                    <w:rPr>
                      <w:rFonts w:eastAsiaTheme="minorHAnsi"/>
                    </w:rPr>
                    <w:t>Urinary drug excretion data is an indirect method for estimating bioavailability. The drug must be excreted in significant quantities as unchanged drug in the urine. In addition, timely urine samples must be collected and the total amount of urinary drug excretion must be obtained (see ).</w:t>
                  </w:r>
                </w:p>
                <w:p w14:paraId="64D1E349" w14:textId="77777777" w:rsidR="00563987" w:rsidRPr="00563987" w:rsidRDefault="00563987" w:rsidP="00563987">
                  <w:pPr>
                    <w:rPr>
                      <w:rFonts w:eastAsiaTheme="minorHAnsi"/>
                    </w:rPr>
                  </w:pPr>
                  <w:r w:rsidRPr="00563987">
                    <w:rPr>
                      <w:rFonts w:eastAsiaTheme="minorHAnsi"/>
                      <w:b/>
                      <w:bCs/>
                      <w:i/>
                      <w:iCs/>
                    </w:rPr>
                    <w:t>D</w:t>
                  </w:r>
                  <w:r w:rsidRPr="00563987">
                    <w:rPr>
                      <w:rFonts w:eastAsiaTheme="minorHAnsi"/>
                      <w:b/>
                      <w:bCs/>
                    </w:rPr>
                    <w:t xml:space="preserve"> </w:t>
                  </w:r>
                  <w:r w:rsidRPr="00563987">
                    <w:rPr>
                      <w:rFonts w:eastAsiaTheme="minorHAnsi"/>
                      <w:b/>
                      <w:bCs/>
                      <w:vertAlign w:val="superscript"/>
                    </w:rPr>
                    <w:t>∞</w:t>
                  </w:r>
                  <w:r w:rsidRPr="00563987">
                    <w:rPr>
                      <w:rFonts w:eastAsiaTheme="minorHAnsi"/>
                      <w:b/>
                      <w:bCs/>
                    </w:rPr>
                    <w:t xml:space="preserve"> </w:t>
                  </w:r>
                  <w:r w:rsidRPr="00563987">
                    <w:rPr>
                      <w:rFonts w:eastAsiaTheme="minorHAnsi"/>
                      <w:b/>
                      <w:bCs/>
                      <w:vertAlign w:val="subscript"/>
                    </w:rPr>
                    <w:t>u</w:t>
                  </w:r>
                  <w:r w:rsidRPr="00563987">
                    <w:rPr>
                      <w:rFonts w:eastAsiaTheme="minorHAnsi"/>
                      <w:b/>
                      <w:bCs/>
                    </w:rPr>
                    <w:t>.</w:t>
                  </w:r>
                  <w:r w:rsidRPr="00563987">
                    <w:rPr>
                      <w:rFonts w:eastAsiaTheme="minorHAnsi"/>
                    </w:rPr>
                    <w:t xml:space="preserve"> The </w:t>
                  </w:r>
                  <w:r w:rsidRPr="00563987">
                    <w:rPr>
                      <w:rFonts w:eastAsiaTheme="minorHAnsi"/>
                      <w:i/>
                      <w:iCs/>
                    </w:rPr>
                    <w:t>cumulative amount of drug excreted in the urine</w:t>
                  </w:r>
                  <w:r w:rsidRPr="00563987">
                    <w:rPr>
                      <w:rFonts w:eastAsiaTheme="minorHAnsi"/>
                    </w:rPr>
                    <w:t xml:space="preserve">, </w:t>
                  </w:r>
                  <w:r w:rsidRPr="00563987">
                    <w:rPr>
                      <w:rFonts w:eastAsiaTheme="minorHAnsi"/>
                      <w:i/>
                      <w:iCs/>
                    </w:rPr>
                    <w:t>D</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vertAlign w:val="subscript"/>
                    </w:rPr>
                    <w:t>u</w:t>
                  </w:r>
                  <w:r w:rsidRPr="00563987">
                    <w:rPr>
                      <w:rFonts w:eastAsiaTheme="minorHAnsi"/>
                    </w:rPr>
                    <w:t xml:space="preserve">, is related directly to the total amount of drug absorbed. Experimentally, urine samples are collected periodically after administration of a drug product. Each urine </w:t>
                  </w:r>
                  <w:r w:rsidRPr="00563987">
                    <w:rPr>
                      <w:rFonts w:eastAsiaTheme="minorHAnsi"/>
                    </w:rPr>
                    <w:lastRenderedPageBreak/>
                    <w:t xml:space="preserve">specimen is analyzed for free drug using a specific assay. A graph is constructed that relates the cumulative drug excreted to the collection-time interval (). </w:t>
                  </w:r>
                </w:p>
                <w:p w14:paraId="6309439B" w14:textId="77777777" w:rsidR="00563987" w:rsidRPr="00563987" w:rsidRDefault="00563987" w:rsidP="00563987">
                  <w:pPr>
                    <w:rPr>
                      <w:rFonts w:eastAsiaTheme="minorHAnsi"/>
                    </w:rPr>
                  </w:pPr>
                  <w:r w:rsidRPr="00563987">
                    <w:rPr>
                      <w:rFonts w:eastAsiaTheme="minorHAnsi"/>
                    </w:rPr>
                    <w:t xml:space="preserve">The relationship between the cumulative amount of drug excreted in the urine and the plasma level–time curve is shown in . When the drug is almost completely eliminated (point </w:t>
                  </w:r>
                  <w:r w:rsidRPr="00563987">
                    <w:rPr>
                      <w:rFonts w:eastAsiaTheme="minorHAnsi"/>
                      <w:i/>
                      <w:iCs/>
                    </w:rPr>
                    <w:t>C</w:t>
                  </w:r>
                  <w:r w:rsidRPr="00563987">
                    <w:rPr>
                      <w:rFonts w:eastAsiaTheme="minorHAnsi"/>
                    </w:rPr>
                    <w:t xml:space="preserve">), the plasma concentration approaches zero and the maximum amount of drug excreted in the urine, </w:t>
                  </w:r>
                  <w:r w:rsidRPr="00563987">
                    <w:rPr>
                      <w:rFonts w:eastAsiaTheme="minorHAnsi"/>
                      <w:i/>
                      <w:iCs/>
                    </w:rPr>
                    <w:t>D</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vertAlign w:val="subscript"/>
                    </w:rPr>
                    <w:t>u</w:t>
                  </w:r>
                  <w:r w:rsidRPr="00563987">
                    <w:rPr>
                      <w:rFonts w:eastAsiaTheme="minorHAnsi"/>
                    </w:rPr>
                    <w:t xml:space="preserve">, is obtained. </w:t>
                  </w:r>
                </w:p>
                <w:p w14:paraId="75737436" w14:textId="77777777" w:rsidR="00563987" w:rsidRPr="00563987" w:rsidRDefault="00563987" w:rsidP="00563987">
                  <w:pPr>
                    <w:rPr>
                      <w:rFonts w:eastAsiaTheme="minorHAnsi"/>
                    </w:rPr>
                  </w:pPr>
                  <w:proofErr w:type="spellStart"/>
                  <w:r w:rsidRPr="00563987">
                    <w:rPr>
                      <w:rFonts w:eastAsiaTheme="minorHAnsi"/>
                      <w:b/>
                      <w:bCs/>
                      <w:i/>
                      <w:iCs/>
                    </w:rPr>
                    <w:t>dD</w:t>
                  </w:r>
                  <w:proofErr w:type="spellEnd"/>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b/>
                      <w:bCs/>
                      <w:i/>
                      <w:iCs/>
                    </w:rPr>
                    <w:t>dt.</w:t>
                  </w:r>
                  <w:r w:rsidRPr="00563987">
                    <w:rPr>
                      <w:rFonts w:eastAsiaTheme="minorHAnsi"/>
                    </w:rPr>
                    <w:t xml:space="preserve"> The </w:t>
                  </w:r>
                  <w:r w:rsidRPr="00563987">
                    <w:rPr>
                      <w:rFonts w:eastAsiaTheme="minorHAnsi"/>
                      <w:i/>
                      <w:iCs/>
                    </w:rPr>
                    <w:t>rate of drug excretion</w:t>
                  </w:r>
                  <w:r w:rsidRPr="00563987">
                    <w:rPr>
                      <w:rFonts w:eastAsiaTheme="minorHAnsi"/>
                    </w:rPr>
                    <w:t xml:space="preserve">. Because most drugs are eliminated by a first-order rate process, the rate of drug excretion is dependent on the first-order elimination rate constant </w:t>
                  </w:r>
                  <w:r w:rsidRPr="00563987">
                    <w:rPr>
                      <w:rFonts w:eastAsiaTheme="minorHAnsi"/>
                      <w:i/>
                      <w:iCs/>
                    </w:rPr>
                    <w:t>k</w:t>
                  </w:r>
                  <w:r w:rsidRPr="00563987">
                    <w:rPr>
                      <w:rFonts w:eastAsiaTheme="minorHAnsi"/>
                    </w:rPr>
                    <w:t xml:space="preserve"> and the concentration of drug in the plasma </w:t>
                  </w:r>
                  <w:r w:rsidRPr="00563987">
                    <w:rPr>
                      <w:rFonts w:eastAsiaTheme="minorHAnsi"/>
                      <w:i/>
                      <w:iCs/>
                    </w:rPr>
                    <w:t>C</w:t>
                  </w:r>
                  <w:r w:rsidRPr="00563987">
                    <w:rPr>
                      <w:rFonts w:eastAsiaTheme="minorHAnsi"/>
                    </w:rPr>
                    <w:t xml:space="preserve"> </w:t>
                  </w:r>
                  <w:r w:rsidRPr="00563987">
                    <w:rPr>
                      <w:rFonts w:eastAsiaTheme="minorHAnsi"/>
                      <w:vertAlign w:val="subscript"/>
                    </w:rPr>
                    <w:t>p</w:t>
                  </w:r>
                  <w:r w:rsidRPr="00563987">
                    <w:rPr>
                      <w:rFonts w:eastAsiaTheme="minorHAnsi"/>
                    </w:rPr>
                    <w:t xml:space="preserve">. In , the </w:t>
                  </w:r>
                  <w:r w:rsidRPr="00563987">
                    <w:rPr>
                      <w:rFonts w:eastAsiaTheme="minorHAnsi"/>
                      <w:i/>
                      <w:iCs/>
                    </w:rPr>
                    <w:t>maximum rate of drug excretion</w:t>
                  </w:r>
                  <w:r w:rsidRPr="00563987">
                    <w:rPr>
                      <w:rFonts w:eastAsiaTheme="minorHAnsi"/>
                    </w:rPr>
                    <w:t>, (</w:t>
                  </w:r>
                  <w:proofErr w:type="spellStart"/>
                  <w:r w:rsidRPr="00563987">
                    <w:rPr>
                      <w:rFonts w:eastAsiaTheme="minorHAnsi"/>
                      <w:i/>
                      <w:iCs/>
                    </w:rPr>
                    <w:t>dD</w:t>
                  </w:r>
                  <w:proofErr w:type="spellEnd"/>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i/>
                      <w:iCs/>
                    </w:rPr>
                    <w:t>dt</w:t>
                  </w:r>
                  <w:r w:rsidRPr="00563987">
                    <w:rPr>
                      <w:rFonts w:eastAsiaTheme="minorHAnsi"/>
                    </w:rPr>
                    <w:t>)</w:t>
                  </w:r>
                  <w:r w:rsidRPr="00563987">
                    <w:rPr>
                      <w:rFonts w:eastAsiaTheme="minorHAnsi"/>
                      <w:vertAlign w:val="subscript"/>
                    </w:rPr>
                    <w:t>max</w:t>
                  </w:r>
                  <w:r w:rsidRPr="00563987">
                    <w:rPr>
                      <w:rFonts w:eastAsiaTheme="minorHAnsi"/>
                    </w:rPr>
                    <w:t xml:space="preserve">, is at point </w:t>
                  </w:r>
                  <w:r w:rsidRPr="00563987">
                    <w:rPr>
                      <w:rFonts w:eastAsiaTheme="minorHAnsi"/>
                      <w:i/>
                      <w:iCs/>
                    </w:rPr>
                    <w:t>B</w:t>
                  </w:r>
                  <w:r w:rsidRPr="00563987">
                    <w:rPr>
                      <w:rFonts w:eastAsiaTheme="minorHAnsi"/>
                    </w:rPr>
                    <w:t xml:space="preserve">, whereas the minimum rate of drug excretion is at points </w:t>
                  </w:r>
                  <w:r w:rsidRPr="00563987">
                    <w:rPr>
                      <w:rFonts w:eastAsiaTheme="minorHAnsi"/>
                      <w:i/>
                      <w:iCs/>
                    </w:rPr>
                    <w:t>A</w:t>
                  </w:r>
                  <w:r w:rsidRPr="00563987">
                    <w:rPr>
                      <w:rFonts w:eastAsiaTheme="minorHAnsi"/>
                    </w:rPr>
                    <w:t xml:space="preserve"> and </w:t>
                  </w:r>
                  <w:r w:rsidRPr="00563987">
                    <w:rPr>
                      <w:rFonts w:eastAsiaTheme="minorHAnsi"/>
                      <w:i/>
                      <w:iCs/>
                    </w:rPr>
                    <w:t>C</w:t>
                  </w:r>
                  <w:r w:rsidRPr="00563987">
                    <w:rPr>
                      <w:rFonts w:eastAsiaTheme="minorHAnsi"/>
                    </w:rPr>
                    <w:t xml:space="preserve">. Thus, a graph comparing the rate of drug excretion with respect to time should be similar in shape as the plasma level–time curve for that drug (). </w:t>
                  </w:r>
                </w:p>
                <w:p w14:paraId="693E32D3" w14:textId="77777777" w:rsidR="00563987" w:rsidRPr="00563987" w:rsidRDefault="00563987" w:rsidP="00563987">
                  <w:pPr>
                    <w:rPr>
                      <w:rFonts w:eastAsiaTheme="minorHAnsi"/>
                    </w:rPr>
                  </w:pPr>
                  <w:r w:rsidRPr="00563987">
                    <w:rPr>
                      <w:rFonts w:eastAsiaTheme="minorHAnsi"/>
                      <w:b/>
                      <w:bCs/>
                      <w:i/>
                      <w:iCs/>
                    </w:rPr>
                    <w:t>t</w:t>
                  </w:r>
                  <w:r w:rsidRPr="00563987">
                    <w:rPr>
                      <w:rFonts w:eastAsiaTheme="minorHAnsi"/>
                      <w:b/>
                      <w:bCs/>
                    </w:rPr>
                    <w:t xml:space="preserve"> </w:t>
                  </w:r>
                  <w:r w:rsidRPr="00563987">
                    <w:rPr>
                      <w:rFonts w:eastAsiaTheme="minorHAnsi"/>
                      <w:b/>
                      <w:bCs/>
                      <w:vertAlign w:val="superscript"/>
                    </w:rPr>
                    <w:t>∞</w:t>
                  </w:r>
                  <w:r w:rsidRPr="00563987">
                    <w:rPr>
                      <w:rFonts w:eastAsiaTheme="minorHAnsi"/>
                      <w:b/>
                      <w:bCs/>
                    </w:rPr>
                    <w:t>.</w:t>
                  </w:r>
                  <w:r w:rsidRPr="00563987">
                    <w:rPr>
                      <w:rFonts w:eastAsiaTheme="minorHAnsi"/>
                    </w:rPr>
                    <w:t xml:space="preserve"> The </w:t>
                  </w:r>
                  <w:r w:rsidRPr="00563987">
                    <w:rPr>
                      <w:rFonts w:eastAsiaTheme="minorHAnsi"/>
                      <w:i/>
                      <w:iCs/>
                    </w:rPr>
                    <w:t>total time for the drug to be excreted</w:t>
                  </w:r>
                  <w:r w:rsidRPr="00563987">
                    <w:rPr>
                      <w:rFonts w:eastAsiaTheme="minorHAnsi"/>
                    </w:rPr>
                    <w:t xml:space="preserve">. In and , the slope of the curve segment </w:t>
                  </w:r>
                  <w:r w:rsidRPr="00563987">
                    <w:rPr>
                      <w:rFonts w:eastAsiaTheme="minorHAnsi"/>
                      <w:i/>
                      <w:iCs/>
                    </w:rPr>
                    <w:t>A</w:t>
                  </w:r>
                  <w:r w:rsidRPr="00563987">
                    <w:rPr>
                      <w:rFonts w:eastAsiaTheme="minorHAnsi"/>
                    </w:rPr>
                    <w:t>–</w:t>
                  </w:r>
                  <w:r w:rsidRPr="00563987">
                    <w:rPr>
                      <w:rFonts w:eastAsiaTheme="minorHAnsi"/>
                      <w:i/>
                      <w:iCs/>
                    </w:rPr>
                    <w:t>B</w:t>
                  </w:r>
                  <w:r w:rsidRPr="00563987">
                    <w:rPr>
                      <w:rFonts w:eastAsiaTheme="minorHAnsi"/>
                    </w:rPr>
                    <w:t xml:space="preserve"> is related to the rate of drug absorption, whereas point </w:t>
                  </w:r>
                  <w:r w:rsidRPr="00563987">
                    <w:rPr>
                      <w:rFonts w:eastAsiaTheme="minorHAnsi"/>
                      <w:i/>
                      <w:iCs/>
                    </w:rPr>
                    <w:t>C</w:t>
                  </w:r>
                  <w:r w:rsidRPr="00563987">
                    <w:rPr>
                      <w:rFonts w:eastAsiaTheme="minorHAnsi"/>
                    </w:rPr>
                    <w:t xml:space="preserve"> is related to the total time required after drug administration for the drug to be absorbed and completely excreted </w:t>
                  </w:r>
                  <w:r w:rsidRPr="00563987">
                    <w:rPr>
                      <w:rFonts w:eastAsiaTheme="minorHAnsi"/>
                      <w:i/>
                      <w:iCs/>
                    </w:rPr>
                    <w:t>t</w:t>
                  </w:r>
                  <w:r w:rsidRPr="00563987">
                    <w:rPr>
                      <w:rFonts w:eastAsiaTheme="minorHAnsi"/>
                    </w:rPr>
                    <w:t xml:space="preserve"> = ∞. The </w:t>
                  </w:r>
                  <w:r w:rsidRPr="00563987">
                    <w:rPr>
                      <w:rFonts w:eastAsiaTheme="minorHAnsi"/>
                      <w:i/>
                      <w:iCs/>
                    </w:rPr>
                    <w:t>t</w:t>
                  </w:r>
                  <w:r w:rsidRPr="00563987">
                    <w:rPr>
                      <w:rFonts w:eastAsiaTheme="minorHAnsi"/>
                    </w:rPr>
                    <w:t xml:space="preserve"> </w:t>
                  </w:r>
                  <w:r w:rsidRPr="00563987">
                    <w:rPr>
                      <w:rFonts w:eastAsiaTheme="minorHAnsi"/>
                      <w:vertAlign w:val="superscript"/>
                    </w:rPr>
                    <w:t>∞</w:t>
                  </w:r>
                  <w:r w:rsidRPr="00563987">
                    <w:rPr>
                      <w:rFonts w:eastAsiaTheme="minorHAnsi"/>
                    </w:rPr>
                    <w:t xml:space="preserve"> is a useful parameter in bioequivalence studies that compare several drug products, as will be described later in this chapter.</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8999"/>
                  </w:tblGrid>
                  <w:tr w:rsidR="00563987" w:rsidRPr="00563987" w14:paraId="1157E8E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971"/>
                        </w:tblGrid>
                        <w:tr w:rsidR="00563987" w:rsidRPr="00563987" w14:paraId="0BB74844" w14:textId="77777777">
                          <w:trPr>
                            <w:tblCellSpacing w:w="7" w:type="dxa"/>
                          </w:trPr>
                          <w:tc>
                            <w:tcPr>
                              <w:tcW w:w="0" w:type="auto"/>
                              <w:shd w:val="clear" w:color="auto" w:fill="CCCCCC"/>
                              <w:vAlign w:val="center"/>
                              <w:hideMark/>
                            </w:tcPr>
                            <w:p w14:paraId="1230C88F" w14:textId="77777777" w:rsidR="00563987" w:rsidRPr="00563987" w:rsidRDefault="00563987" w:rsidP="00563987">
                              <w:pPr>
                                <w:rPr>
                                  <w:rFonts w:eastAsiaTheme="minorHAnsi"/>
                                </w:rPr>
                              </w:pPr>
                              <w:bookmarkStart w:id="59" w:name="2481873"/>
                              <w:bookmarkEnd w:id="59"/>
                              <w:r w:rsidRPr="00563987">
                                <w:rPr>
                                  <w:rFonts w:eastAsiaTheme="minorHAnsi"/>
                                </w:rPr>
                                <w:t>Figure 15-5.</w:t>
                              </w:r>
                            </w:p>
                            <w:p w14:paraId="748ACBBF" w14:textId="77777777" w:rsidR="00563987" w:rsidRPr="00563987" w:rsidRDefault="00563987" w:rsidP="00563987">
                              <w:pPr>
                                <w:rPr>
                                  <w:rFonts w:eastAsiaTheme="minorHAnsi"/>
                                </w:rPr>
                              </w:pPr>
                            </w:p>
                          </w:tc>
                        </w:tr>
                      </w:tbl>
                      <w:p w14:paraId="115BFF25" w14:textId="77777777" w:rsidR="00563987" w:rsidRPr="00563987" w:rsidRDefault="00563987" w:rsidP="00563987">
                        <w:pPr>
                          <w:rPr>
                            <w:rFonts w:eastAsiaTheme="minorHAnsi"/>
                          </w:rPr>
                        </w:pPr>
                      </w:p>
                    </w:tc>
                  </w:tr>
                  <w:tr w:rsidR="00563987" w:rsidRPr="00563987" w14:paraId="253076F7"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971"/>
                        </w:tblGrid>
                        <w:tr w:rsidR="00563987" w:rsidRPr="00563987" w14:paraId="0A88E539" w14:textId="77777777">
                          <w:trPr>
                            <w:tblCellSpacing w:w="7" w:type="dxa"/>
                          </w:trPr>
                          <w:tc>
                            <w:tcPr>
                              <w:tcW w:w="0" w:type="auto"/>
                              <w:shd w:val="clear" w:color="auto" w:fill="FFFFFF"/>
                              <w:vAlign w:val="center"/>
                              <w:hideMark/>
                            </w:tcPr>
                            <w:p w14:paraId="748E1A03" w14:textId="6ED72B8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4F97B57" wp14:editId="5891DCF9">
                                        <wp:extent cx="304800" cy="304800"/>
                                        <wp:effectExtent l="0" t="0" r="0" b="0"/>
                                        <wp:docPr id="554711327"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F028D" id="Rectangle 1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484D499C" w14:textId="77777777">
                          <w:trPr>
                            <w:tblCellSpacing w:w="7" w:type="dxa"/>
                          </w:trPr>
                          <w:tc>
                            <w:tcPr>
                              <w:tcW w:w="0" w:type="auto"/>
                              <w:shd w:val="clear" w:color="auto" w:fill="FFFFFF"/>
                              <w:vAlign w:val="center"/>
                              <w:hideMark/>
                            </w:tcPr>
                            <w:p w14:paraId="40CE6033" w14:textId="77777777" w:rsidR="00563987" w:rsidRPr="00563987" w:rsidRDefault="00563987" w:rsidP="00563987">
                              <w:pPr>
                                <w:rPr>
                                  <w:rFonts w:eastAsiaTheme="minorHAnsi"/>
                                </w:rPr>
                              </w:pPr>
                              <w:bookmarkStart w:id="60" w:name="2481874"/>
                              <w:bookmarkEnd w:id="60"/>
                              <w:r w:rsidRPr="00563987">
                                <w:rPr>
                                  <w:rFonts w:eastAsiaTheme="minorHAnsi"/>
                                </w:rPr>
                                <w:t>Corresponding plots relating the plasma level–time curve and the cumulative urinary drug excretion.</w:t>
                              </w:r>
                            </w:p>
                          </w:tc>
                        </w:tr>
                      </w:tbl>
                      <w:p w14:paraId="580DD1A4" w14:textId="77777777" w:rsidR="00563987" w:rsidRPr="00563987" w:rsidRDefault="00563987" w:rsidP="00563987">
                        <w:pPr>
                          <w:rPr>
                            <w:rFonts w:eastAsiaTheme="minorHAnsi"/>
                          </w:rPr>
                        </w:pPr>
                      </w:p>
                    </w:tc>
                  </w:tr>
                </w:tbl>
                <w:p w14:paraId="4F50BB45" w14:textId="77777777" w:rsidR="00563987" w:rsidRPr="00563987" w:rsidRDefault="00563987" w:rsidP="00563987">
                  <w:pPr>
                    <w:rPr>
                      <w:rFonts w:eastAsiaTheme="minorHAnsi"/>
                    </w:rPr>
                  </w:pPr>
                  <w:bookmarkStart w:id="61" w:name="2481875"/>
                  <w:bookmarkEnd w:id="61"/>
                </w:p>
                <w:tbl>
                  <w:tblPr>
                    <w:tblW w:w="0" w:type="auto"/>
                    <w:tblCellSpacing w:w="7" w:type="dxa"/>
                    <w:shd w:val="clear" w:color="auto" w:fill="999999"/>
                    <w:tblCellMar>
                      <w:left w:w="0" w:type="dxa"/>
                      <w:right w:w="0" w:type="dxa"/>
                    </w:tblCellMar>
                    <w:tblLook w:val="04A0" w:firstRow="1" w:lastRow="0" w:firstColumn="1" w:lastColumn="0" w:noHBand="0" w:noVBand="1"/>
                  </w:tblPr>
                  <w:tblGrid>
                    <w:gridCol w:w="8999"/>
                  </w:tblGrid>
                  <w:tr w:rsidR="00563987" w:rsidRPr="00563987" w14:paraId="027BC78C"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971"/>
                        </w:tblGrid>
                        <w:tr w:rsidR="00563987" w:rsidRPr="00563987" w14:paraId="596FB4A4" w14:textId="77777777">
                          <w:trPr>
                            <w:tblCellSpacing w:w="7" w:type="dxa"/>
                          </w:trPr>
                          <w:tc>
                            <w:tcPr>
                              <w:tcW w:w="0" w:type="auto"/>
                              <w:shd w:val="clear" w:color="auto" w:fill="CCCCCC"/>
                              <w:vAlign w:val="center"/>
                              <w:hideMark/>
                            </w:tcPr>
                            <w:p w14:paraId="672D223A" w14:textId="77777777" w:rsidR="00563987" w:rsidRPr="00563987" w:rsidRDefault="00563987" w:rsidP="00563987">
                              <w:pPr>
                                <w:rPr>
                                  <w:rFonts w:eastAsiaTheme="minorHAnsi"/>
                                </w:rPr>
                              </w:pPr>
                              <w:r w:rsidRPr="00563987">
                                <w:rPr>
                                  <w:rFonts w:eastAsiaTheme="minorHAnsi"/>
                                </w:rPr>
                                <w:t>Figure 15-6.</w:t>
                              </w:r>
                            </w:p>
                            <w:p w14:paraId="4986F4F2" w14:textId="77777777" w:rsidR="00563987" w:rsidRPr="00563987" w:rsidRDefault="00563987" w:rsidP="00563987">
                              <w:pPr>
                                <w:rPr>
                                  <w:rFonts w:eastAsiaTheme="minorHAnsi"/>
                                </w:rPr>
                              </w:pPr>
                            </w:p>
                          </w:tc>
                        </w:tr>
                      </w:tbl>
                      <w:p w14:paraId="2D71D16B" w14:textId="77777777" w:rsidR="00563987" w:rsidRPr="00563987" w:rsidRDefault="00563987" w:rsidP="00563987">
                        <w:pPr>
                          <w:rPr>
                            <w:rFonts w:eastAsiaTheme="minorHAnsi"/>
                          </w:rPr>
                        </w:pPr>
                      </w:p>
                    </w:tc>
                  </w:tr>
                  <w:tr w:rsidR="00563987" w:rsidRPr="00563987" w14:paraId="00ED6E4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971"/>
                        </w:tblGrid>
                        <w:tr w:rsidR="00563987" w:rsidRPr="00563987" w14:paraId="4432EAB1" w14:textId="77777777">
                          <w:trPr>
                            <w:tblCellSpacing w:w="7" w:type="dxa"/>
                          </w:trPr>
                          <w:tc>
                            <w:tcPr>
                              <w:tcW w:w="0" w:type="auto"/>
                              <w:shd w:val="clear" w:color="auto" w:fill="FFFFFF"/>
                              <w:vAlign w:val="center"/>
                              <w:hideMark/>
                            </w:tcPr>
                            <w:p w14:paraId="61A2F8E2" w14:textId="0B9D48BB"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1FD6F14" wp14:editId="4E116004">
                                        <wp:extent cx="304800" cy="304800"/>
                                        <wp:effectExtent l="0" t="0" r="0" b="0"/>
                                        <wp:docPr id="394902007"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22053" id="Rectangle 1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0AB1E15D" w14:textId="77777777">
                          <w:trPr>
                            <w:tblCellSpacing w:w="7" w:type="dxa"/>
                          </w:trPr>
                          <w:tc>
                            <w:tcPr>
                              <w:tcW w:w="0" w:type="auto"/>
                              <w:shd w:val="clear" w:color="auto" w:fill="FFFFFF"/>
                              <w:vAlign w:val="center"/>
                              <w:hideMark/>
                            </w:tcPr>
                            <w:p w14:paraId="70626B0E" w14:textId="77777777" w:rsidR="00563987" w:rsidRPr="00563987" w:rsidRDefault="00563987" w:rsidP="00563987">
                              <w:pPr>
                                <w:rPr>
                                  <w:rFonts w:eastAsiaTheme="minorHAnsi"/>
                                </w:rPr>
                              </w:pPr>
                              <w:bookmarkStart w:id="62" w:name="2481876"/>
                              <w:bookmarkEnd w:id="62"/>
                              <w:r w:rsidRPr="00563987">
                                <w:rPr>
                                  <w:rFonts w:eastAsiaTheme="minorHAnsi"/>
                                </w:rPr>
                                <w:t>Corresponding plots relating the plasma level–time curve and the cumulative urinary drug excretion.</w:t>
                              </w:r>
                            </w:p>
                          </w:tc>
                        </w:tr>
                      </w:tbl>
                      <w:p w14:paraId="651F6834" w14:textId="77777777" w:rsidR="00563987" w:rsidRPr="00563987" w:rsidRDefault="00563987" w:rsidP="00563987">
                        <w:pPr>
                          <w:rPr>
                            <w:rFonts w:eastAsiaTheme="minorHAnsi"/>
                          </w:rPr>
                        </w:pPr>
                      </w:p>
                    </w:tc>
                  </w:tr>
                </w:tbl>
                <w:p w14:paraId="2FAD70E4" w14:textId="77777777" w:rsidR="00563987" w:rsidRPr="00563987" w:rsidRDefault="00563987" w:rsidP="00563987">
                  <w:pPr>
                    <w:rPr>
                      <w:rFonts w:eastAsiaTheme="minorHAnsi"/>
                    </w:rPr>
                  </w:pPr>
                  <w:bookmarkStart w:id="63" w:name="2481877"/>
                  <w:bookmarkEnd w:id="63"/>
                </w:p>
                <w:tbl>
                  <w:tblPr>
                    <w:tblW w:w="0" w:type="auto"/>
                    <w:tblCellSpacing w:w="7" w:type="dxa"/>
                    <w:shd w:val="clear" w:color="auto" w:fill="999999"/>
                    <w:tblCellMar>
                      <w:left w:w="0" w:type="dxa"/>
                      <w:right w:w="0" w:type="dxa"/>
                    </w:tblCellMar>
                    <w:tblLook w:val="04A0" w:firstRow="1" w:lastRow="0" w:firstColumn="1" w:lastColumn="0" w:noHBand="0" w:noVBand="1"/>
                  </w:tblPr>
                  <w:tblGrid>
                    <w:gridCol w:w="8589"/>
                  </w:tblGrid>
                  <w:tr w:rsidR="00563987" w:rsidRPr="00563987" w14:paraId="7F78E0E2"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8561"/>
                        </w:tblGrid>
                        <w:tr w:rsidR="00563987" w:rsidRPr="00563987" w14:paraId="72B43743" w14:textId="77777777">
                          <w:trPr>
                            <w:tblCellSpacing w:w="7" w:type="dxa"/>
                          </w:trPr>
                          <w:tc>
                            <w:tcPr>
                              <w:tcW w:w="0" w:type="auto"/>
                              <w:shd w:val="clear" w:color="auto" w:fill="CCCCCC"/>
                              <w:vAlign w:val="center"/>
                              <w:hideMark/>
                            </w:tcPr>
                            <w:p w14:paraId="2BD0AA68" w14:textId="77777777" w:rsidR="00563987" w:rsidRPr="00563987" w:rsidRDefault="00563987" w:rsidP="00563987">
                              <w:pPr>
                                <w:rPr>
                                  <w:rFonts w:eastAsiaTheme="minorHAnsi"/>
                                </w:rPr>
                              </w:pPr>
                              <w:r w:rsidRPr="00563987">
                                <w:rPr>
                                  <w:rFonts w:eastAsiaTheme="minorHAnsi"/>
                                </w:rPr>
                                <w:t>Figure 15-7.</w:t>
                              </w:r>
                            </w:p>
                            <w:p w14:paraId="7F261302" w14:textId="77777777" w:rsidR="00563987" w:rsidRPr="00563987" w:rsidRDefault="00563987" w:rsidP="00563987">
                              <w:pPr>
                                <w:rPr>
                                  <w:rFonts w:eastAsiaTheme="minorHAnsi"/>
                                </w:rPr>
                              </w:pPr>
                            </w:p>
                          </w:tc>
                        </w:tr>
                      </w:tbl>
                      <w:p w14:paraId="06B8ED6B" w14:textId="77777777" w:rsidR="00563987" w:rsidRPr="00563987" w:rsidRDefault="00563987" w:rsidP="00563987">
                        <w:pPr>
                          <w:rPr>
                            <w:rFonts w:eastAsiaTheme="minorHAnsi"/>
                          </w:rPr>
                        </w:pPr>
                      </w:p>
                    </w:tc>
                  </w:tr>
                  <w:tr w:rsidR="00563987" w:rsidRPr="00563987" w14:paraId="19B0C5BA"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561"/>
                        </w:tblGrid>
                        <w:tr w:rsidR="00563987" w:rsidRPr="00563987" w14:paraId="61F977EA" w14:textId="77777777">
                          <w:trPr>
                            <w:tblCellSpacing w:w="7" w:type="dxa"/>
                          </w:trPr>
                          <w:tc>
                            <w:tcPr>
                              <w:tcW w:w="0" w:type="auto"/>
                              <w:shd w:val="clear" w:color="auto" w:fill="FFFFFF"/>
                              <w:vAlign w:val="center"/>
                              <w:hideMark/>
                            </w:tcPr>
                            <w:p w14:paraId="5B583516" w14:textId="3EB43A7B"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29B2E21" wp14:editId="0F72B5C7">
                                        <wp:extent cx="304800" cy="304800"/>
                                        <wp:effectExtent l="0" t="0" r="0" b="0"/>
                                        <wp:docPr id="1084823319"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2881B" id="Rectangle 1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7C32DA2E" w14:textId="77777777">
                          <w:trPr>
                            <w:tblCellSpacing w:w="7" w:type="dxa"/>
                          </w:trPr>
                          <w:tc>
                            <w:tcPr>
                              <w:tcW w:w="0" w:type="auto"/>
                              <w:shd w:val="clear" w:color="auto" w:fill="FFFFFF"/>
                              <w:vAlign w:val="center"/>
                              <w:hideMark/>
                            </w:tcPr>
                            <w:p w14:paraId="3A7A2D91" w14:textId="77777777" w:rsidR="00563987" w:rsidRPr="00563987" w:rsidRDefault="00563987" w:rsidP="00563987">
                              <w:pPr>
                                <w:rPr>
                                  <w:rFonts w:eastAsiaTheme="minorHAnsi"/>
                                </w:rPr>
                              </w:pPr>
                              <w:bookmarkStart w:id="64" w:name="2481878"/>
                              <w:bookmarkEnd w:id="64"/>
                              <w:r w:rsidRPr="00563987">
                                <w:rPr>
                                  <w:rFonts w:eastAsiaTheme="minorHAnsi"/>
                                </w:rPr>
                                <w:t>Corresponding plots relating the plasma level–time curve and the rate of urinary drug excretion.</w:t>
                              </w:r>
                            </w:p>
                          </w:tc>
                        </w:tr>
                      </w:tbl>
                      <w:p w14:paraId="45E913FE" w14:textId="77777777" w:rsidR="00563987" w:rsidRPr="00563987" w:rsidRDefault="00563987" w:rsidP="00563987">
                        <w:pPr>
                          <w:rPr>
                            <w:rFonts w:eastAsiaTheme="minorHAnsi"/>
                          </w:rPr>
                        </w:pPr>
                      </w:p>
                    </w:tc>
                  </w:tr>
                </w:tbl>
                <w:p w14:paraId="2D9E2ADE" w14:textId="77777777" w:rsidR="00563987" w:rsidRPr="00563987" w:rsidRDefault="00563987" w:rsidP="00563987">
                  <w:pPr>
                    <w:rPr>
                      <w:rFonts w:eastAsiaTheme="minorHAnsi"/>
                    </w:rPr>
                  </w:pPr>
                  <w:bookmarkStart w:id="65" w:name="2481676"/>
                  <w:bookmarkEnd w:id="65"/>
                  <w:r w:rsidRPr="00563987">
                    <w:rPr>
                      <w:rFonts w:eastAsiaTheme="minorHAnsi"/>
                    </w:rPr>
                    <w:t>Acute Pharmacodynamic Effect</w:t>
                  </w:r>
                </w:p>
                <w:p w14:paraId="27DF4644" w14:textId="77777777" w:rsidR="00563987" w:rsidRPr="00563987" w:rsidRDefault="00563987" w:rsidP="00563987">
                  <w:pPr>
                    <w:rPr>
                      <w:rFonts w:eastAsiaTheme="minorHAnsi"/>
                    </w:rPr>
                  </w:pPr>
                  <w:bookmarkStart w:id="66" w:name="2481677"/>
                  <w:bookmarkEnd w:id="66"/>
                  <w:r w:rsidRPr="00563987">
                    <w:rPr>
                      <w:rFonts w:eastAsiaTheme="minorHAnsi"/>
                    </w:rPr>
                    <w:t xml:space="preserve">In some cases, the quantitative measurement of a drug in plasma or urine lacks an assay with sufficient accuracy and/or reproducibility. For locally acting, </w:t>
                  </w:r>
                  <w:proofErr w:type="spellStart"/>
                  <w:r w:rsidRPr="00563987">
                    <w:rPr>
                      <w:rFonts w:eastAsiaTheme="minorHAnsi"/>
                    </w:rPr>
                    <w:t>nonsystemically</w:t>
                  </w:r>
                  <w:proofErr w:type="spellEnd"/>
                  <w:r w:rsidRPr="00563987">
                    <w:rPr>
                      <w:rFonts w:eastAsiaTheme="minorHAnsi"/>
                    </w:rPr>
                    <w:t xml:space="preserve"> absorbed drug products, such as topical corticosteroids, plasma drug concentrations may not reflect the bioavailability of the drug at the site of action. An acute pharmacodynamic effect, such as an effect on forced expiratory volume, FEV</w:t>
                  </w:r>
                  <w:r w:rsidRPr="00563987">
                    <w:rPr>
                      <w:rFonts w:eastAsiaTheme="minorHAnsi"/>
                      <w:vertAlign w:val="subscript"/>
                    </w:rPr>
                    <w:t xml:space="preserve">1 </w:t>
                  </w:r>
                  <w:r w:rsidRPr="00563987">
                    <w:rPr>
                      <w:rFonts w:eastAsiaTheme="minorHAnsi"/>
                    </w:rPr>
                    <w:t>(inhaled bronchodilators) or skin blanching (topical corticosteroids) can be used as an index of drug bioavailability. In this case, the acute pharmacodynamic effect is measured over a period of time after administration of the drug product. Measurements of the pharmacodynamic effect should be made with sufficient frequency to permit a reasonable estimate for a time period at least three times the half-life of the drug (). This approach may be particularly applicable to dosage forms that are not intended to deliver the active moiety to the bloodstream for systemic distribution.</w:t>
                  </w:r>
                </w:p>
                <w:p w14:paraId="3B975A59" w14:textId="77777777" w:rsidR="00563987" w:rsidRPr="00563987" w:rsidRDefault="00563987" w:rsidP="00563987">
                  <w:pPr>
                    <w:rPr>
                      <w:rFonts w:eastAsiaTheme="minorHAnsi"/>
                    </w:rPr>
                  </w:pPr>
                  <w:bookmarkStart w:id="67" w:name="2481678"/>
                  <w:bookmarkEnd w:id="67"/>
                  <w:r w:rsidRPr="00563987">
                    <w:rPr>
                      <w:rFonts w:eastAsiaTheme="minorHAnsi"/>
                    </w:rPr>
                    <w:t>The use of an acute pharmacodynamic effect to determine bioavailability generally requires demonstration of a dose–response curve (see ). Bioavailability is determined by characterization of the dose–response curve. For bioequivalence determination, pharmacodynamic parameters including the total area under the acute pharmacodynamic effect–time curve, peak pharmacodynamic effect, and time for peak pharmacodynamic effect are obtained from the pharmacodynamic effect–time curve. The onset time and duration of the pharmacokinetic effect may also be included in the analysis of the data. The use of pharmacodynamic endpoints for the determination of bioavailability and bioequivalence is much more variable than the measurement of plasma or urine drug concentrations.</w:t>
                  </w:r>
                </w:p>
                <w:p w14:paraId="3871D249" w14:textId="77777777" w:rsidR="00563987" w:rsidRPr="00563987" w:rsidRDefault="00563987" w:rsidP="00563987">
                  <w:pPr>
                    <w:rPr>
                      <w:rFonts w:eastAsiaTheme="minorHAnsi"/>
                    </w:rPr>
                  </w:pPr>
                  <w:bookmarkStart w:id="68" w:name="2481679"/>
                  <w:bookmarkEnd w:id="68"/>
                  <w:r w:rsidRPr="00563987">
                    <w:rPr>
                      <w:rFonts w:eastAsiaTheme="minorHAnsi"/>
                    </w:rPr>
                    <w:t>Clinical Observations</w:t>
                  </w:r>
                </w:p>
                <w:p w14:paraId="019D1F14" w14:textId="77777777" w:rsidR="00563987" w:rsidRPr="00563987" w:rsidRDefault="00563987" w:rsidP="00563987">
                  <w:pPr>
                    <w:rPr>
                      <w:rFonts w:eastAsiaTheme="minorHAnsi"/>
                    </w:rPr>
                  </w:pPr>
                  <w:bookmarkStart w:id="69" w:name="2481680"/>
                  <w:bookmarkEnd w:id="69"/>
                  <w:r w:rsidRPr="00563987">
                    <w:rPr>
                      <w:rFonts w:eastAsiaTheme="minorHAnsi"/>
                    </w:rPr>
                    <w:t xml:space="preserve">Well-controlled clinical trials in humans establish the safety and effectiveness of drug products and may be used to determine bioavailability. However, the clinical trials approach is the least accurate, least sensitive, and least reproducible of the general approaches for determining </w:t>
                  </w:r>
                  <w:r w:rsidRPr="00563987">
                    <w:rPr>
                      <w:rFonts w:eastAsiaTheme="minorHAnsi"/>
                      <w:i/>
                      <w:iCs/>
                    </w:rPr>
                    <w:t>in-vivo</w:t>
                  </w:r>
                  <w:r w:rsidRPr="00563987">
                    <w:rPr>
                      <w:rFonts w:eastAsiaTheme="minorHAnsi"/>
                    </w:rPr>
                    <w:t xml:space="preserve"> bioavailability. The FDA considers this approach only when analytical methods and pharmacodynamic methods are not available to permit use of one of the approaches described above. Comparative clinical studies have been used to establish bioequivalence for topical antifungal drug products (</w:t>
                  </w:r>
                  <w:proofErr w:type="spellStart"/>
                  <w:r w:rsidRPr="00563987">
                    <w:rPr>
                      <w:rFonts w:eastAsiaTheme="minorHAnsi"/>
                    </w:rPr>
                    <w:t>eg</w:t>
                  </w:r>
                  <w:proofErr w:type="spellEnd"/>
                  <w:r w:rsidRPr="00563987">
                    <w:rPr>
                      <w:rFonts w:eastAsiaTheme="minorHAnsi"/>
                    </w:rPr>
                    <w:t>, ketoconazole) and for topical acne preparations. For dosage forms intended to deliver the active moiety to the bloodstream for systemic distribution, this approach may be considered acceptable only when analytical methods cannot be developed to permit use of one of the other approaches</w:t>
                  </w:r>
                </w:p>
                <w:p w14:paraId="03BDEC9B" w14:textId="77777777" w:rsidR="00563987" w:rsidRPr="00563987" w:rsidRDefault="00563987" w:rsidP="00563987">
                  <w:pPr>
                    <w:rPr>
                      <w:rFonts w:eastAsiaTheme="minorHAnsi"/>
                    </w:rPr>
                  </w:pPr>
                  <w:bookmarkStart w:id="70" w:name="2481681"/>
                  <w:bookmarkEnd w:id="70"/>
                  <w:r w:rsidRPr="00563987">
                    <w:rPr>
                      <w:rFonts w:eastAsiaTheme="minorHAnsi"/>
                      <w:i/>
                      <w:iCs/>
                    </w:rPr>
                    <w:lastRenderedPageBreak/>
                    <w:t>In-Vitro</w:t>
                  </w:r>
                  <w:r w:rsidRPr="00563987">
                    <w:rPr>
                      <w:rFonts w:eastAsiaTheme="minorHAnsi"/>
                    </w:rPr>
                    <w:t xml:space="preserve"> Studies</w:t>
                  </w:r>
                </w:p>
                <w:p w14:paraId="282A9B7A" w14:textId="77777777" w:rsidR="00563987" w:rsidRPr="00563987" w:rsidRDefault="00563987" w:rsidP="00563987">
                  <w:pPr>
                    <w:rPr>
                      <w:rFonts w:eastAsiaTheme="minorHAnsi"/>
                    </w:rPr>
                  </w:pPr>
                  <w:bookmarkStart w:id="71" w:name="2481682"/>
                  <w:bookmarkEnd w:id="71"/>
                  <w:r w:rsidRPr="00563987">
                    <w:rPr>
                      <w:rFonts w:eastAsiaTheme="minorHAnsi"/>
                    </w:rPr>
                    <w:t xml:space="preserve">Drug dissolution studies may under certain conditions give an indication of drug bioavailability. Ideally, the </w:t>
                  </w:r>
                  <w:r w:rsidRPr="00563987">
                    <w:rPr>
                      <w:rFonts w:eastAsiaTheme="minorHAnsi"/>
                      <w:i/>
                      <w:iCs/>
                    </w:rPr>
                    <w:t>in-vitro</w:t>
                  </w:r>
                  <w:r w:rsidRPr="00563987">
                    <w:rPr>
                      <w:rFonts w:eastAsiaTheme="minorHAnsi"/>
                    </w:rPr>
                    <w:t xml:space="preserve"> drug dissolution rate should correlate with </w:t>
                  </w:r>
                  <w:r w:rsidRPr="00563987">
                    <w:rPr>
                      <w:rFonts w:eastAsiaTheme="minorHAnsi"/>
                      <w:i/>
                      <w:iCs/>
                    </w:rPr>
                    <w:t>in-vivo</w:t>
                  </w:r>
                  <w:r w:rsidRPr="00563987">
                    <w:rPr>
                      <w:rFonts w:eastAsiaTheme="minorHAnsi"/>
                    </w:rPr>
                    <w:t xml:space="preserve"> drug bioavailability (see and on </w:t>
                  </w:r>
                  <w:r w:rsidRPr="00563987">
                    <w:rPr>
                      <w:rFonts w:eastAsiaTheme="minorHAnsi"/>
                      <w:i/>
                      <w:iCs/>
                    </w:rPr>
                    <w:t>in-vivo–in-vitro</w:t>
                  </w:r>
                  <w:r w:rsidRPr="00563987">
                    <w:rPr>
                      <w:rFonts w:eastAsiaTheme="minorHAnsi"/>
                    </w:rPr>
                    <w:t xml:space="preserve"> correlation, IVIVC). Dissolution studies are often performed on several test formulations of the same drug. The test formulation that demonstrates the most rapid rate of drug dissolution </w:t>
                  </w:r>
                  <w:r w:rsidRPr="00563987">
                    <w:rPr>
                      <w:rFonts w:eastAsiaTheme="minorHAnsi"/>
                      <w:i/>
                      <w:iCs/>
                    </w:rPr>
                    <w:t>in vitro</w:t>
                  </w:r>
                  <w:r w:rsidRPr="00563987">
                    <w:rPr>
                      <w:rFonts w:eastAsiaTheme="minorHAnsi"/>
                    </w:rPr>
                    <w:t xml:space="preserve"> will generally have the most rapid rate of drug bioavailability </w:t>
                  </w:r>
                  <w:r w:rsidRPr="00563987">
                    <w:rPr>
                      <w:rFonts w:eastAsiaTheme="minorHAnsi"/>
                      <w:i/>
                      <w:iCs/>
                    </w:rPr>
                    <w:t>in vivo</w:t>
                  </w:r>
                  <w:r w:rsidRPr="00563987">
                    <w:rPr>
                      <w:rFonts w:eastAsiaTheme="minorHAnsi"/>
                    </w:rPr>
                    <w:t>.</w:t>
                  </w:r>
                </w:p>
                <w:p w14:paraId="059B59E5" w14:textId="77777777" w:rsidR="00563987" w:rsidRPr="00563987" w:rsidRDefault="00563987" w:rsidP="00563987">
                  <w:pPr>
                    <w:rPr>
                      <w:rFonts w:eastAsiaTheme="minorHAnsi"/>
                    </w:rPr>
                  </w:pPr>
                  <w:bookmarkStart w:id="72" w:name="2481683"/>
                  <w:bookmarkEnd w:id="72"/>
                  <w:r w:rsidRPr="00563987">
                    <w:rPr>
                      <w:rFonts w:eastAsiaTheme="minorHAnsi"/>
                    </w:rPr>
                    <w:t xml:space="preserve">The FDA may also use other </w:t>
                  </w:r>
                  <w:r w:rsidRPr="00563987">
                    <w:rPr>
                      <w:rFonts w:eastAsiaTheme="minorHAnsi"/>
                      <w:i/>
                      <w:iCs/>
                    </w:rPr>
                    <w:t>in-vitro</w:t>
                  </w:r>
                  <w:r w:rsidRPr="00563987">
                    <w:rPr>
                      <w:rFonts w:eastAsiaTheme="minorHAnsi"/>
                    </w:rPr>
                    <w:t xml:space="preserve"> approaches for establishing bioequivalence. For example, cholestyramine resin is a basic quaternary ammonium anion-exchange resin that is hydrophilic, insoluble in water, and not absorbed in the gastrointestinal tract. The bioequivalence of cholestyramine resin is performed by equilibrium and kinetic binding studies of the resin to bile acid salts (www.fda.gov/cder/guidance/cholesty.pdf).</w:t>
                  </w:r>
                </w:p>
              </w:tc>
            </w:tr>
          </w:tbl>
          <w:p w14:paraId="72B64B6B" w14:textId="77777777" w:rsidR="00563987" w:rsidRPr="00563987" w:rsidRDefault="00563987" w:rsidP="00563987">
            <w:pPr>
              <w:rPr>
                <w:rFonts w:eastAsiaTheme="minorHAnsi"/>
                <w:vanish/>
              </w:rPr>
            </w:pPr>
            <w:bookmarkStart w:id="73" w:name="2481684"/>
            <w:bookmarkEnd w:id="73"/>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74D54BE8" w14:textId="77777777">
              <w:trPr>
                <w:tblCellSpacing w:w="0" w:type="dxa"/>
              </w:trPr>
              <w:tc>
                <w:tcPr>
                  <w:tcW w:w="0" w:type="auto"/>
                  <w:shd w:val="clear" w:color="auto" w:fill="FFFFFF"/>
                  <w:hideMark/>
                </w:tcPr>
                <w:p w14:paraId="56783993" w14:textId="77777777" w:rsidR="00563987" w:rsidRPr="00563987" w:rsidRDefault="00563987" w:rsidP="00563987">
                  <w:pPr>
                    <w:rPr>
                      <w:rFonts w:eastAsiaTheme="minorHAnsi"/>
                    </w:rPr>
                  </w:pPr>
                  <w:r w:rsidRPr="00563987">
                    <w:rPr>
                      <w:rFonts w:eastAsiaTheme="minorHAnsi"/>
                    </w:rPr>
                    <w:t>Bioequivalence Studies</w:t>
                  </w:r>
                </w:p>
                <w:p w14:paraId="5D459BA2" w14:textId="77777777" w:rsidR="00563987" w:rsidRPr="00563987" w:rsidRDefault="00563987" w:rsidP="00563987">
                  <w:pPr>
                    <w:rPr>
                      <w:rFonts w:eastAsiaTheme="minorHAnsi"/>
                    </w:rPr>
                  </w:pPr>
                  <w:bookmarkStart w:id="74" w:name="2481685"/>
                  <w:bookmarkEnd w:id="74"/>
                  <w:r w:rsidRPr="00563987">
                    <w:rPr>
                      <w:rFonts w:eastAsiaTheme="minorHAnsi"/>
                    </w:rPr>
                    <w:t xml:space="preserve">Differences in the predicted clinical response or an adverse event may be due to differences in the pharmacokinetic and/or pharmacodynamic behavior of the drug among individuals or to differences in the bioavailability of the drug from the drug product. Bioequivalent drug products that have the same systemic drug bioavailability will have the same predictable drug response. However, variable clinical responses among individuals that are unrelated to bioavailability may be due to differences in the pharmacodynamics of the drug. Differences in pharmacodynamics, </w:t>
                  </w:r>
                  <w:proofErr w:type="spellStart"/>
                  <w:r w:rsidRPr="00563987">
                    <w:rPr>
                      <w:rFonts w:eastAsiaTheme="minorHAnsi"/>
                    </w:rPr>
                    <w:t>ie</w:t>
                  </w:r>
                  <w:proofErr w:type="spellEnd"/>
                  <w:r w:rsidRPr="00563987">
                    <w:rPr>
                      <w:rFonts w:eastAsiaTheme="minorHAnsi"/>
                    </w:rPr>
                    <w:t>, the relationship between the drug and the receptor site, may be due to differences in receptor sensitivity to the drug. Various factors affecting pharmacodynamic drug behavior may include age, drug tolerance, drug interactions, and unknown pathophysiologic factors.</w:t>
                  </w:r>
                </w:p>
                <w:p w14:paraId="527090E2" w14:textId="77777777" w:rsidR="00563987" w:rsidRPr="00563987" w:rsidRDefault="00563987" w:rsidP="00563987">
                  <w:pPr>
                    <w:rPr>
                      <w:rFonts w:eastAsiaTheme="minorHAnsi"/>
                    </w:rPr>
                  </w:pPr>
                  <w:bookmarkStart w:id="75" w:name="2481686"/>
                  <w:bookmarkEnd w:id="75"/>
                  <w:r w:rsidRPr="00563987">
                    <w:rPr>
                      <w:rFonts w:eastAsiaTheme="minorHAnsi"/>
                    </w:rPr>
                    <w:t>The bioavailability of a drug may be more reproducible among fasted individuals in controlled studies who take the drug on an empty stomach. When the drug is used on a daily basis, however, the nature of an individual's diet and lifestyle may affect the plasma drug levels because of variable absorption in the presence of food or even a change in the metabolic clearance of the drug. reported that patients on a high-carbohydrate diet have a much longer elimination half-life of theophylline, due to the reduced metabolic clearance of the drug (</w:t>
                  </w: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18.1 hours), compared to patients on normal diets (</w:t>
                  </w: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xml:space="preserve"> = 6.76 hours). Previous studies demonstrated that the theophylline drug product was completely bioavailable. The higher plasma drug concentration resulting from a carbohydrate diet may subject the patient to a higher risk of drug intoxication with theophylline. The effect of food on the availability of theophylline has been reported by the FDA concerning the risk of higher theophylline plasma concentrations from a 24-hour sustained-release drug product taken with food. Although most bioavailability drug studies use fasted volunteers, the diet of patients actually using the drug product may increase, decrease, or have no </w:t>
                  </w:r>
                  <w:proofErr w:type="spellStart"/>
                  <w:r w:rsidRPr="00563987">
                    <w:rPr>
                      <w:rFonts w:eastAsiaTheme="minorHAnsi"/>
                    </w:rPr>
                    <w:t>affect</w:t>
                  </w:r>
                  <w:proofErr w:type="spellEnd"/>
                  <w:r w:rsidRPr="00563987">
                    <w:rPr>
                      <w:rFonts w:eastAsiaTheme="minorHAnsi"/>
                    </w:rPr>
                    <w:t xml:space="preserve"> on the bioavailability of the drug ().</w:t>
                  </w:r>
                </w:p>
                <w:p w14:paraId="437311AE" w14:textId="77777777" w:rsidR="00563987" w:rsidRPr="00563987" w:rsidRDefault="00563987" w:rsidP="00563987">
                  <w:pPr>
                    <w:rPr>
                      <w:rFonts w:eastAsiaTheme="minorHAnsi"/>
                    </w:rPr>
                  </w:pPr>
                  <w:bookmarkStart w:id="76" w:name="2481687"/>
                  <w:bookmarkEnd w:id="76"/>
                  <w:r w:rsidRPr="00563987">
                    <w:rPr>
                      <w:rFonts w:eastAsiaTheme="minorHAnsi"/>
                    </w:rPr>
                    <w:t>Bases for Determining Bioequivalence</w:t>
                  </w:r>
                </w:p>
                <w:p w14:paraId="307A2969" w14:textId="77777777" w:rsidR="00563987" w:rsidRPr="00563987" w:rsidRDefault="00563987" w:rsidP="00563987">
                  <w:pPr>
                    <w:rPr>
                      <w:rFonts w:eastAsiaTheme="minorHAnsi"/>
                    </w:rPr>
                  </w:pPr>
                  <w:bookmarkStart w:id="77" w:name="2481688"/>
                  <w:bookmarkEnd w:id="77"/>
                  <w:r w:rsidRPr="00563987">
                    <w:rPr>
                      <w:rFonts w:eastAsiaTheme="minorHAnsi"/>
                    </w:rPr>
                    <w:t xml:space="preserve">Bioequivalence is established if the </w:t>
                  </w:r>
                  <w:r w:rsidRPr="00563987">
                    <w:rPr>
                      <w:rFonts w:eastAsiaTheme="minorHAnsi"/>
                      <w:i/>
                      <w:iCs/>
                    </w:rPr>
                    <w:t>in-vivo</w:t>
                  </w:r>
                  <w:r w:rsidRPr="00563987">
                    <w:rPr>
                      <w:rFonts w:eastAsiaTheme="minorHAnsi"/>
                    </w:rPr>
                    <w:t xml:space="preserve"> bioavailability of a test drug product (usually the generic product) does not differ significantly (</w:t>
                  </w:r>
                  <w:proofErr w:type="spellStart"/>
                  <w:r w:rsidRPr="00563987">
                    <w:rPr>
                      <w:rFonts w:eastAsiaTheme="minorHAnsi"/>
                    </w:rPr>
                    <w:t>ie</w:t>
                  </w:r>
                  <w:proofErr w:type="spellEnd"/>
                  <w:r w:rsidRPr="00563987">
                    <w:rPr>
                      <w:rFonts w:eastAsiaTheme="minorHAnsi"/>
                    </w:rPr>
                    <w:t>, statistically insignificant) in the product's rate and extent of drug absorption, as determined by comparison of measured parameters (</w:t>
                  </w:r>
                  <w:proofErr w:type="spellStart"/>
                  <w:r w:rsidRPr="00563987">
                    <w:rPr>
                      <w:rFonts w:eastAsiaTheme="minorHAnsi"/>
                    </w:rPr>
                    <w:t>eg</w:t>
                  </w:r>
                  <w:proofErr w:type="spellEnd"/>
                  <w:r w:rsidRPr="00563987">
                    <w:rPr>
                      <w:rFonts w:eastAsiaTheme="minorHAnsi"/>
                    </w:rPr>
                    <w:t xml:space="preserve">, concentration of the active drug ingredient in the blood, urinary excretion rates, or pharmacodynamic effects), from that of the </w:t>
                  </w:r>
                  <w:r w:rsidRPr="00563987">
                    <w:rPr>
                      <w:rFonts w:eastAsiaTheme="minorHAnsi"/>
                      <w:i/>
                      <w:iCs/>
                    </w:rPr>
                    <w:t>reference listed drug</w:t>
                  </w:r>
                  <w:r w:rsidRPr="00563987">
                    <w:rPr>
                      <w:rFonts w:eastAsiaTheme="minorHAnsi"/>
                    </w:rPr>
                    <w:t xml:space="preserve"> (usually the brand-name product) when administered at the same molar dose of the active moiety under similar experimental conditions, either single dose or multiple dose. </w:t>
                  </w:r>
                </w:p>
                <w:p w14:paraId="59937BE2" w14:textId="77777777" w:rsidR="00563987" w:rsidRPr="00563987" w:rsidRDefault="00563987" w:rsidP="00563987">
                  <w:pPr>
                    <w:rPr>
                      <w:rFonts w:eastAsiaTheme="minorHAnsi"/>
                    </w:rPr>
                  </w:pPr>
                  <w:bookmarkStart w:id="78" w:name="2481689"/>
                  <w:bookmarkEnd w:id="78"/>
                  <w:r w:rsidRPr="00563987">
                    <w:rPr>
                      <w:rFonts w:eastAsiaTheme="minorHAnsi"/>
                    </w:rPr>
                    <w:t>In a few cases, a drug product that differs from the reference listed drug in its rate of absorption, but not in its extent of absorption, may be considered bioequivalent if the difference in the rate of absorption is intentional and appropriately reflected in the labeling and/or the rate of absorption is not detrimental to the safety and effectiveness of the drug product.</w:t>
                  </w:r>
                </w:p>
                <w:p w14:paraId="0A0465AC" w14:textId="77777777" w:rsidR="00563987" w:rsidRPr="00563987" w:rsidRDefault="00563987" w:rsidP="00563987">
                  <w:pPr>
                    <w:rPr>
                      <w:rFonts w:eastAsiaTheme="minorHAnsi"/>
                    </w:rPr>
                  </w:pPr>
                  <w:bookmarkStart w:id="79" w:name="2481690"/>
                  <w:bookmarkEnd w:id="79"/>
                  <w:r w:rsidRPr="00563987">
                    <w:rPr>
                      <w:rFonts w:eastAsiaTheme="minorHAnsi"/>
                    </w:rPr>
                    <w:t>Drug Products with Possible Bioavailability and Bioequivalence Problems</w:t>
                  </w:r>
                </w:p>
                <w:p w14:paraId="65BD1F6B" w14:textId="77777777" w:rsidR="00563987" w:rsidRPr="00563987" w:rsidRDefault="00563987" w:rsidP="00563987">
                  <w:pPr>
                    <w:rPr>
                      <w:rFonts w:eastAsiaTheme="minorHAnsi"/>
                    </w:rPr>
                  </w:pPr>
                  <w:bookmarkStart w:id="80" w:name="2481691"/>
                  <w:bookmarkEnd w:id="80"/>
                  <w:r w:rsidRPr="00563987">
                    <w:rPr>
                      <w:rFonts w:eastAsiaTheme="minorHAnsi"/>
                    </w:rPr>
                    <w:t xml:space="preserve">Lack of bioavailability or bioequivalence may be suspected when evidence from well-controlled clinical trials or controlled observations in patients of various marketed drug products do not give comparable therapeutic effects. These drug products need to be evaluated either </w:t>
                  </w:r>
                  <w:r w:rsidRPr="00563987">
                    <w:rPr>
                      <w:rFonts w:eastAsiaTheme="minorHAnsi"/>
                      <w:i/>
                      <w:iCs/>
                    </w:rPr>
                    <w:t xml:space="preserve">in vitro </w:t>
                  </w:r>
                  <w:r w:rsidRPr="00563987">
                    <w:rPr>
                      <w:rFonts w:eastAsiaTheme="minorHAnsi"/>
                    </w:rPr>
                    <w:t>(</w:t>
                  </w:r>
                  <w:proofErr w:type="spellStart"/>
                  <w:r w:rsidRPr="00563987">
                    <w:rPr>
                      <w:rFonts w:eastAsiaTheme="minorHAnsi"/>
                    </w:rPr>
                    <w:t>eg</w:t>
                  </w:r>
                  <w:proofErr w:type="spellEnd"/>
                  <w:r w:rsidRPr="00563987">
                    <w:rPr>
                      <w:rFonts w:eastAsiaTheme="minorHAnsi"/>
                    </w:rPr>
                    <w:t xml:space="preserve">, drug dissolution/release test) or </w:t>
                  </w:r>
                  <w:r w:rsidRPr="00563987">
                    <w:rPr>
                      <w:rFonts w:eastAsiaTheme="minorHAnsi"/>
                      <w:i/>
                      <w:iCs/>
                    </w:rPr>
                    <w:t xml:space="preserve">in vivo </w:t>
                  </w:r>
                  <w:r w:rsidRPr="00563987">
                    <w:rPr>
                      <w:rFonts w:eastAsiaTheme="minorHAnsi"/>
                    </w:rPr>
                    <w:t>(</w:t>
                  </w:r>
                  <w:proofErr w:type="spellStart"/>
                  <w:r w:rsidRPr="00563987">
                    <w:rPr>
                      <w:rFonts w:eastAsiaTheme="minorHAnsi"/>
                    </w:rPr>
                    <w:t>eg</w:t>
                  </w:r>
                  <w:proofErr w:type="spellEnd"/>
                  <w:r w:rsidRPr="00563987">
                    <w:rPr>
                      <w:rFonts w:eastAsiaTheme="minorHAnsi"/>
                    </w:rPr>
                    <w:t xml:space="preserve">, bioequivalence study) to determine if the drug product has a bioavailability problem (see also U.S. Code of Federal Regulations, 21 CFR 320.33). </w:t>
                  </w:r>
                </w:p>
                <w:p w14:paraId="236B44F5" w14:textId="77777777" w:rsidR="00563987" w:rsidRPr="00563987" w:rsidRDefault="00563987" w:rsidP="00563987">
                  <w:pPr>
                    <w:rPr>
                      <w:rFonts w:eastAsiaTheme="minorHAnsi"/>
                    </w:rPr>
                  </w:pPr>
                  <w:bookmarkStart w:id="81" w:name="2481692"/>
                  <w:bookmarkEnd w:id="81"/>
                  <w:r w:rsidRPr="00563987">
                    <w:rPr>
                      <w:rFonts w:eastAsiaTheme="minorHAnsi"/>
                    </w:rPr>
                    <w:t>In addition, during the development of a drug product, certain biopharmaceutical properties of the active drug substance or the formulation of the drug product may indicate that the drug may have variable bioavailability and/or a bioequivalence problem. Some of these biopharmaceutic properties include:</w:t>
                  </w:r>
                </w:p>
                <w:p w14:paraId="654132DC" w14:textId="25B1DECF"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64575FE" wp14:editId="5FFA7045">
                            <wp:extent cx="304800" cy="304800"/>
                            <wp:effectExtent l="0" t="0" r="0" b="0"/>
                            <wp:docPr id="1569990704"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4E37F" id="Rectangle 1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The active drug ingredient has low solubility in water (</w:t>
                  </w:r>
                  <w:proofErr w:type="spellStart"/>
                  <w:r w:rsidRPr="00563987">
                    <w:rPr>
                      <w:rFonts w:eastAsiaTheme="minorHAnsi"/>
                    </w:rPr>
                    <w:t>eg</w:t>
                  </w:r>
                  <w:proofErr w:type="spellEnd"/>
                  <w:r w:rsidRPr="00563987">
                    <w:rPr>
                      <w:rFonts w:eastAsiaTheme="minorHAnsi"/>
                    </w:rPr>
                    <w:t xml:space="preserve">, less than 5 mg/mL). </w:t>
                  </w:r>
                </w:p>
                <w:p w14:paraId="1149032F" w14:textId="00FCFCF9"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1CC481F" wp14:editId="6223583D">
                            <wp:extent cx="304800" cy="304800"/>
                            <wp:effectExtent l="0" t="0" r="0" b="0"/>
                            <wp:docPr id="1151737014"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63E4F" id="Rectangle 1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The dissolution rate of one or more such products is slow (</w:t>
                  </w:r>
                  <w:proofErr w:type="spellStart"/>
                  <w:r w:rsidRPr="00563987">
                    <w:rPr>
                      <w:rFonts w:eastAsiaTheme="minorHAnsi"/>
                    </w:rPr>
                    <w:t>eg</w:t>
                  </w:r>
                  <w:proofErr w:type="spellEnd"/>
                  <w:r w:rsidRPr="00563987">
                    <w:rPr>
                      <w:rFonts w:eastAsiaTheme="minorHAnsi"/>
                    </w:rPr>
                    <w:t xml:space="preserve">, less than 50% in 30 minutes when tested with a general method specified by the FDA). </w:t>
                  </w:r>
                </w:p>
                <w:p w14:paraId="390BCCB6" w14:textId="14D04A80"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4F7A59B" wp14:editId="50BD9A2B">
                            <wp:extent cx="304800" cy="304800"/>
                            <wp:effectExtent l="0" t="0" r="0" b="0"/>
                            <wp:docPr id="449016723"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2D50C" id="Rectangle 1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The particle size and/or surface area of the active drug ingredient is critical in determining its bioavailability. </w:t>
                  </w:r>
                </w:p>
                <w:p w14:paraId="14B92328" w14:textId="2B25BBBD" w:rsidR="00563987" w:rsidRPr="00563987" w:rsidRDefault="00563987" w:rsidP="00563987">
                  <w:pPr>
                    <w:rPr>
                      <w:rFonts w:eastAsiaTheme="minorHAnsi"/>
                    </w:rPr>
                  </w:pPr>
                  <w:r w:rsidRPr="00563987">
                    <w:rPr>
                      <w:rFonts w:eastAsiaTheme="minorHAnsi"/>
                      <w:noProof/>
                    </w:rPr>
                    <w:lastRenderedPageBreak/>
                    <mc:AlternateContent>
                      <mc:Choice Requires="wps">
                        <w:drawing>
                          <wp:inline distT="0" distB="0" distL="0" distR="0" wp14:anchorId="2B98E4B5" wp14:editId="67EDDC35">
                            <wp:extent cx="304800" cy="304800"/>
                            <wp:effectExtent l="0" t="0" r="0" b="0"/>
                            <wp:docPr id="1116816727"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1D46E" id="Rectangle 1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Certain structural forms of the active drug ingredient (</w:t>
                  </w:r>
                  <w:proofErr w:type="spellStart"/>
                  <w:r w:rsidRPr="00563987">
                    <w:rPr>
                      <w:rFonts w:eastAsiaTheme="minorHAnsi"/>
                    </w:rPr>
                    <w:t>eg</w:t>
                  </w:r>
                  <w:proofErr w:type="spellEnd"/>
                  <w:r w:rsidRPr="00563987">
                    <w:rPr>
                      <w:rFonts w:eastAsiaTheme="minorHAnsi"/>
                    </w:rPr>
                    <w:t xml:space="preserve">, polymorphic forms, solvates, complexes, and crystal modifications) dissolve poorly, thus affecting absorption. </w:t>
                  </w:r>
                </w:p>
                <w:p w14:paraId="1D86827C" w14:textId="24AD518D"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38AAC7A" wp14:editId="37828176">
                            <wp:extent cx="304800" cy="304800"/>
                            <wp:effectExtent l="0" t="0" r="0" b="0"/>
                            <wp:docPr id="134690411"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9A811" id="Rectangle 1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Drug products that have a high ratio of excipients to active ingredients (</w:t>
                  </w:r>
                  <w:proofErr w:type="spellStart"/>
                  <w:r w:rsidRPr="00563987">
                    <w:rPr>
                      <w:rFonts w:eastAsiaTheme="minorHAnsi"/>
                    </w:rPr>
                    <w:t>eg</w:t>
                  </w:r>
                  <w:proofErr w:type="spellEnd"/>
                  <w:r w:rsidRPr="00563987">
                    <w:rPr>
                      <w:rFonts w:eastAsiaTheme="minorHAnsi"/>
                    </w:rPr>
                    <w:t xml:space="preserve">, greater than 5:1). </w:t>
                  </w:r>
                </w:p>
                <w:p w14:paraId="4C48976D" w14:textId="5117BE1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1A078B0E" wp14:editId="499AC22B">
                            <wp:extent cx="304800" cy="304800"/>
                            <wp:effectExtent l="0" t="0" r="0" b="0"/>
                            <wp:docPr id="468114393"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3D563" id="Rectangle 1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Specific inactive ingredients (</w:t>
                  </w:r>
                  <w:proofErr w:type="spellStart"/>
                  <w:r w:rsidRPr="00563987">
                    <w:rPr>
                      <w:rFonts w:eastAsiaTheme="minorHAnsi"/>
                    </w:rPr>
                    <w:t>eg</w:t>
                  </w:r>
                  <w:proofErr w:type="spellEnd"/>
                  <w:r w:rsidRPr="00563987">
                    <w:rPr>
                      <w:rFonts w:eastAsiaTheme="minorHAnsi"/>
                    </w:rPr>
                    <w:t xml:space="preserve">, hydrophilic or hydrophobic excipients and lubricants) either may be required for absorption of the active drug ingredient or therapeutic moiety or may interfere with such absorption. </w:t>
                  </w:r>
                </w:p>
                <w:p w14:paraId="17E61C46" w14:textId="63192243"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E6E5D8C" wp14:editId="537FA63C">
                            <wp:extent cx="304800" cy="304800"/>
                            <wp:effectExtent l="0" t="0" r="0" b="0"/>
                            <wp:docPr id="311154043"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9AB14" id="Rectangle 1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The active drug ingredient, therapeutic moiety, or its precursor is absorbed in large part in a particular segment of the GI tract or is absorbed from a localized site. </w:t>
                  </w:r>
                </w:p>
                <w:p w14:paraId="71D75D94" w14:textId="67E0026C"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5B0785F2" wp14:editId="4F7F7608">
                            <wp:extent cx="304800" cy="304800"/>
                            <wp:effectExtent l="0" t="0" r="0" b="0"/>
                            <wp:docPr id="74689628"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34CD4" id="Rectangle 1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The degree of absorption of the active drug ingredient, therapeutic moiety, or its precursor is poor (</w:t>
                  </w:r>
                  <w:proofErr w:type="spellStart"/>
                  <w:r w:rsidRPr="00563987">
                    <w:rPr>
                      <w:rFonts w:eastAsiaTheme="minorHAnsi"/>
                    </w:rPr>
                    <w:t>eg</w:t>
                  </w:r>
                  <w:proofErr w:type="spellEnd"/>
                  <w:r w:rsidRPr="00563987">
                    <w:rPr>
                      <w:rFonts w:eastAsiaTheme="minorHAnsi"/>
                    </w:rPr>
                    <w:t>, less than 50%, ordinarily in comparison to an intravenous dose), even when it is administered in pure form (</w:t>
                  </w:r>
                  <w:proofErr w:type="spellStart"/>
                  <w:r w:rsidRPr="00563987">
                    <w:rPr>
                      <w:rFonts w:eastAsiaTheme="minorHAnsi"/>
                    </w:rPr>
                    <w:t>eg</w:t>
                  </w:r>
                  <w:proofErr w:type="spellEnd"/>
                  <w:r w:rsidRPr="00563987">
                    <w:rPr>
                      <w:rFonts w:eastAsiaTheme="minorHAnsi"/>
                    </w:rPr>
                    <w:t xml:space="preserve">, in solution). </w:t>
                  </w:r>
                </w:p>
                <w:p w14:paraId="6E2DE0C9" w14:textId="51312B37"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4AAA76B2" wp14:editId="7E9264C7">
                            <wp:extent cx="304800" cy="304800"/>
                            <wp:effectExtent l="0" t="0" r="0" b="0"/>
                            <wp:docPr id="1586746866"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7DF96" id="Rectangle 1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There is rapid metabolism of the therapeutic moiety in the intestinal wall or liver during the absorption process (first-order metabolism), so that the rate of absorption is unusually important in the therapeutic effect and/or toxicity of the drug product. </w:t>
                  </w:r>
                </w:p>
                <w:p w14:paraId="7115801E" w14:textId="1E0A0AD8"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08986615" wp14:editId="79787AC0">
                            <wp:extent cx="304800" cy="304800"/>
                            <wp:effectExtent l="0" t="0" r="0" b="0"/>
                            <wp:docPr id="12682360"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EB886" id="Rectangle 1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The therapeutic moiety is rapidly metabolized or excreted, so that rapid dissolution and absorption are required for effectiveness. </w:t>
                  </w:r>
                </w:p>
                <w:p w14:paraId="60E0FDE6" w14:textId="510BED44"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5990D7D1" wp14:editId="4514FBC7">
                            <wp:extent cx="304800" cy="304800"/>
                            <wp:effectExtent l="0" t="0" r="0" b="0"/>
                            <wp:docPr id="1857558316"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26D8D" id="Rectangle 1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The active drug ingredient or therapeutic moiety is unstable in specific portions of the GI tract and requires special coatings or formulations (</w:t>
                  </w:r>
                  <w:proofErr w:type="spellStart"/>
                  <w:r w:rsidRPr="00563987">
                    <w:rPr>
                      <w:rFonts w:eastAsiaTheme="minorHAnsi"/>
                    </w:rPr>
                    <w:t>eg</w:t>
                  </w:r>
                  <w:proofErr w:type="spellEnd"/>
                  <w:r w:rsidRPr="00563987">
                    <w:rPr>
                      <w:rFonts w:eastAsiaTheme="minorHAnsi"/>
                    </w:rPr>
                    <w:t xml:space="preserve">, buffers, enteric coatings, and film coatings) to ensure adequate absorption. </w:t>
                  </w:r>
                </w:p>
                <w:p w14:paraId="32795C43" w14:textId="64719E1D"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24B462DD" wp14:editId="6DF17DBD">
                            <wp:extent cx="304800" cy="304800"/>
                            <wp:effectExtent l="0" t="0" r="0" b="0"/>
                            <wp:docPr id="1517451411"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CF2CA" id="Rectangle 1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The drug product is subject to dose-dependent kinetics in or near the therapeutic range, and the rate and extent of absorption are important to bioequivalence.</w:t>
                  </w:r>
                </w:p>
              </w:tc>
            </w:tr>
          </w:tbl>
          <w:p w14:paraId="35CDEDC1" w14:textId="77777777" w:rsidR="00563987" w:rsidRPr="00563987" w:rsidRDefault="00563987" w:rsidP="00563987">
            <w:pPr>
              <w:rPr>
                <w:rFonts w:eastAsiaTheme="minorHAnsi"/>
                <w:vanish/>
              </w:rPr>
            </w:pPr>
            <w:bookmarkStart w:id="82" w:name="2481693"/>
            <w:bookmarkEnd w:id="82"/>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28B3D2F0" w14:textId="77777777">
              <w:trPr>
                <w:tblCellSpacing w:w="0" w:type="dxa"/>
              </w:trPr>
              <w:tc>
                <w:tcPr>
                  <w:tcW w:w="0" w:type="auto"/>
                  <w:shd w:val="clear" w:color="auto" w:fill="FFFFFF"/>
                  <w:hideMark/>
                </w:tcPr>
                <w:p w14:paraId="3826E34D" w14:textId="77777777" w:rsidR="00563987" w:rsidRPr="00563987" w:rsidRDefault="00563987" w:rsidP="00563987">
                  <w:pPr>
                    <w:rPr>
                      <w:rFonts w:eastAsiaTheme="minorHAnsi"/>
                    </w:rPr>
                  </w:pPr>
                  <w:r w:rsidRPr="00563987">
                    <w:rPr>
                      <w:rFonts w:eastAsiaTheme="minorHAnsi"/>
                    </w:rPr>
                    <w:t>Design and Evaluation of Bioequivalence Studies</w:t>
                  </w:r>
                </w:p>
                <w:p w14:paraId="46EAC0D0" w14:textId="77777777" w:rsidR="00563987" w:rsidRPr="00563987" w:rsidRDefault="00563987" w:rsidP="00563987">
                  <w:pPr>
                    <w:rPr>
                      <w:rFonts w:eastAsiaTheme="minorHAnsi"/>
                    </w:rPr>
                  </w:pPr>
                  <w:bookmarkStart w:id="83" w:name="2481694"/>
                  <w:bookmarkEnd w:id="83"/>
                  <w:r w:rsidRPr="00563987">
                    <w:rPr>
                      <w:rFonts w:eastAsiaTheme="minorHAnsi"/>
                    </w:rPr>
                    <w:t xml:space="preserve">Bioequivalence studies are performed to compare the bioavailability of the generic drug product to the brand-name product. Statistical techniques should be of sufficient sensitivity to detect differences in rate and extent of absorption that are not attributable to subject variability. Once bioequivalence is established, it is likely that both the generic and brand-name dosage forms will produce the same therapeutic effect. The FDA publishes </w:t>
                  </w:r>
                  <w:proofErr w:type="spellStart"/>
                  <w:r w:rsidRPr="00563987">
                    <w:rPr>
                      <w:rFonts w:eastAsiaTheme="minorHAnsi"/>
                    </w:rPr>
                    <w:t>guidances</w:t>
                  </w:r>
                  <w:proofErr w:type="spellEnd"/>
                  <w:r w:rsidRPr="00563987">
                    <w:rPr>
                      <w:rFonts w:eastAsiaTheme="minorHAnsi"/>
                    </w:rPr>
                    <w:t xml:space="preserve"> for bioequivalence studies (www.fda.gov/cder/guidance; see also 21 CFR 320.25). Sponsors may also request a meeting with the FDA to review the study design for a specific drug product.</w:t>
                  </w:r>
                </w:p>
                <w:p w14:paraId="36F3BC1C" w14:textId="77777777" w:rsidR="00563987" w:rsidRPr="00563987" w:rsidRDefault="00563987" w:rsidP="00563987">
                  <w:pPr>
                    <w:rPr>
                      <w:rFonts w:eastAsiaTheme="minorHAnsi"/>
                    </w:rPr>
                  </w:pPr>
                  <w:bookmarkStart w:id="84" w:name="2481695"/>
                  <w:bookmarkEnd w:id="84"/>
                  <w:r w:rsidRPr="00563987">
                    <w:rPr>
                      <w:rFonts w:eastAsiaTheme="minorHAnsi"/>
                    </w:rPr>
                    <w:t>Design</w:t>
                  </w:r>
                </w:p>
                <w:p w14:paraId="3F846220" w14:textId="77777777" w:rsidR="00563987" w:rsidRPr="00563987" w:rsidRDefault="00563987" w:rsidP="00563987">
                  <w:pPr>
                    <w:rPr>
                      <w:rFonts w:eastAsiaTheme="minorHAnsi"/>
                    </w:rPr>
                  </w:pPr>
                  <w:bookmarkStart w:id="85" w:name="2481696"/>
                  <w:bookmarkEnd w:id="85"/>
                  <w:r w:rsidRPr="00563987">
                    <w:rPr>
                      <w:rFonts w:eastAsiaTheme="minorHAnsi"/>
                    </w:rPr>
                    <w:t xml:space="preserve">The design and evaluation of well-controlled bioequivalence studies require cooperative input from </w:t>
                  </w:r>
                  <w:proofErr w:type="spellStart"/>
                  <w:r w:rsidRPr="00563987">
                    <w:rPr>
                      <w:rFonts w:eastAsiaTheme="minorHAnsi"/>
                    </w:rPr>
                    <w:t>pharmacokineticists</w:t>
                  </w:r>
                  <w:proofErr w:type="spellEnd"/>
                  <w:r w:rsidRPr="00563987">
                    <w:rPr>
                      <w:rFonts w:eastAsiaTheme="minorHAnsi"/>
                    </w:rPr>
                    <w:t xml:space="preserve">, statisticians, clinicians, bioanalytical chemists, and others. The basic design for a bioequivalence study is determined by (1) the scientific questions to be answered, (2) the nature of the reference material and the dosage form to be tested, (3) the availability of analytical methods, and (4) benefit–risk and ethical considerations with regard to testing in humans. For some generic drugs, the FDA offers general guidelines for conducting these studies. For example, </w:t>
                  </w:r>
                  <w:r w:rsidRPr="00563987">
                    <w:rPr>
                      <w:rFonts w:eastAsiaTheme="minorHAnsi"/>
                      <w:i/>
                      <w:iCs/>
                    </w:rPr>
                    <w:t>Statistical Procedures for Bioequivalence Studies Using a Standard Two-Treatment Crossover Design</w:t>
                  </w:r>
                  <w:r w:rsidRPr="00563987">
                    <w:rPr>
                      <w:rFonts w:eastAsiaTheme="minorHAnsi"/>
                    </w:rPr>
                    <w:t xml:space="preserve"> is available from the FDA; the publication addresses three specific aspects, including (1) logarithmic transformation of pharmacokinetic data, (2) sequence effect, and (3) outlier consideration. However, even with the availability of such guidelines, the principal investigator should prepare a detailed protocol for the study. Some of the elements of a protocol for an </w:t>
                  </w:r>
                  <w:r w:rsidRPr="00563987">
                    <w:rPr>
                      <w:rFonts w:eastAsiaTheme="minorHAnsi"/>
                      <w:i/>
                      <w:iCs/>
                    </w:rPr>
                    <w:t>in-vivo</w:t>
                  </w:r>
                  <w:r w:rsidRPr="00563987">
                    <w:rPr>
                      <w:rFonts w:eastAsiaTheme="minorHAnsi"/>
                    </w:rPr>
                    <w:t xml:space="preserve"> bioavailability study are listed in . Bioavailability studies for controlled-release dosage forms are discussed in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06"/>
                  </w:tblGrid>
                  <w:tr w:rsidR="00563987" w:rsidRPr="00563987" w14:paraId="1E7AEC27"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276"/>
                        </w:tblGrid>
                        <w:tr w:rsidR="00563987" w:rsidRPr="00563987" w14:paraId="643C9708" w14:textId="77777777">
                          <w:trPr>
                            <w:tblCellSpacing w:w="0" w:type="dxa"/>
                          </w:trPr>
                          <w:tc>
                            <w:tcPr>
                              <w:tcW w:w="0" w:type="auto"/>
                              <w:vAlign w:val="center"/>
                              <w:hideMark/>
                            </w:tcPr>
                            <w:p w14:paraId="54B54B4D" w14:textId="77777777" w:rsidR="00563987" w:rsidRPr="00563987" w:rsidRDefault="00563987" w:rsidP="00563987">
                              <w:pPr>
                                <w:rPr>
                                  <w:rFonts w:eastAsiaTheme="minorHAnsi"/>
                                </w:rPr>
                              </w:pPr>
                              <w:bookmarkStart w:id="86" w:name="2481827"/>
                              <w:bookmarkEnd w:id="86"/>
                              <w:r w:rsidRPr="00563987">
                                <w:rPr>
                                  <w:rFonts w:eastAsiaTheme="minorHAnsi"/>
                                </w:rPr>
                                <w:t>Table 15.2 Elements of a Bioavailability Study Protocol</w:t>
                              </w:r>
                            </w:p>
                            <w:p w14:paraId="4A16B578" w14:textId="77777777" w:rsidR="00563987" w:rsidRPr="00563987" w:rsidRDefault="00563987" w:rsidP="00563987">
                              <w:pPr>
                                <w:rPr>
                                  <w:rFonts w:eastAsiaTheme="minorHAnsi"/>
                                </w:rPr>
                              </w:pPr>
                            </w:p>
                          </w:tc>
                        </w:tr>
                      </w:tbl>
                      <w:p w14:paraId="037AF0F7" w14:textId="77777777" w:rsidR="00563987" w:rsidRPr="00563987" w:rsidRDefault="00563987" w:rsidP="00563987">
                        <w:pPr>
                          <w:rPr>
                            <w:rFonts w:eastAsiaTheme="minorHAnsi"/>
                          </w:rPr>
                        </w:pPr>
                      </w:p>
                    </w:tc>
                  </w:tr>
                  <w:tr w:rsidR="00563987" w:rsidRPr="00563987" w14:paraId="6EA4C266"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5306"/>
                        </w:tblGrid>
                        <w:tr w:rsidR="00563987" w:rsidRPr="00563987" w14:paraId="78B88345" w14:textId="77777777">
                          <w:trPr>
                            <w:tblCellSpacing w:w="7" w:type="dxa"/>
                          </w:trPr>
                          <w:tc>
                            <w:tcPr>
                              <w:tcW w:w="0" w:type="auto"/>
                              <w:shd w:val="clear" w:color="auto" w:fill="FFFFFF"/>
                              <w:hideMark/>
                            </w:tcPr>
                            <w:p w14:paraId="6CC26563" w14:textId="77777777" w:rsidR="00563987" w:rsidRPr="00563987" w:rsidRDefault="00563987" w:rsidP="00563987">
                              <w:pPr>
                                <w:rPr>
                                  <w:rFonts w:eastAsiaTheme="minorHAnsi"/>
                                </w:rPr>
                              </w:pPr>
                              <w:r w:rsidRPr="00563987">
                                <w:rPr>
                                  <w:rFonts w:eastAsiaTheme="minorHAnsi"/>
                                </w:rPr>
                                <w:t>I. Title</w:t>
                              </w:r>
                            </w:p>
                          </w:tc>
                        </w:tr>
                        <w:tr w:rsidR="00563987" w:rsidRPr="00563987" w14:paraId="244BCA45" w14:textId="77777777">
                          <w:trPr>
                            <w:tblCellSpacing w:w="7" w:type="dxa"/>
                          </w:trPr>
                          <w:tc>
                            <w:tcPr>
                              <w:tcW w:w="0" w:type="auto"/>
                              <w:shd w:val="clear" w:color="auto" w:fill="FFFFFF"/>
                              <w:hideMark/>
                            </w:tcPr>
                            <w:p w14:paraId="5990D517" w14:textId="77777777" w:rsidR="00563987" w:rsidRPr="00563987" w:rsidRDefault="00563987" w:rsidP="00563987">
                              <w:pPr>
                                <w:rPr>
                                  <w:rFonts w:eastAsiaTheme="minorHAnsi"/>
                                </w:rPr>
                              </w:pPr>
                              <w:r w:rsidRPr="00563987">
                                <w:rPr>
                                  <w:rFonts w:eastAsiaTheme="minorHAnsi"/>
                                </w:rPr>
                                <w:t>  A. Principal investigator (study director)</w:t>
                              </w:r>
                            </w:p>
                          </w:tc>
                        </w:tr>
                        <w:tr w:rsidR="00563987" w:rsidRPr="00563987" w14:paraId="0923F0B6" w14:textId="77777777">
                          <w:trPr>
                            <w:tblCellSpacing w:w="7" w:type="dxa"/>
                          </w:trPr>
                          <w:tc>
                            <w:tcPr>
                              <w:tcW w:w="0" w:type="auto"/>
                              <w:shd w:val="clear" w:color="auto" w:fill="FFFFFF"/>
                              <w:hideMark/>
                            </w:tcPr>
                            <w:p w14:paraId="0A9B76A9" w14:textId="77777777" w:rsidR="00563987" w:rsidRPr="00563987" w:rsidRDefault="00563987" w:rsidP="00563987">
                              <w:pPr>
                                <w:rPr>
                                  <w:rFonts w:eastAsiaTheme="minorHAnsi"/>
                                </w:rPr>
                              </w:pPr>
                              <w:r w:rsidRPr="00563987">
                                <w:rPr>
                                  <w:rFonts w:eastAsiaTheme="minorHAnsi"/>
                                </w:rPr>
                                <w:t>  B. Project/protocol number and date</w:t>
                              </w:r>
                            </w:p>
                          </w:tc>
                        </w:tr>
                        <w:tr w:rsidR="00563987" w:rsidRPr="00563987" w14:paraId="2FD23DB1" w14:textId="77777777">
                          <w:trPr>
                            <w:tblCellSpacing w:w="7" w:type="dxa"/>
                          </w:trPr>
                          <w:tc>
                            <w:tcPr>
                              <w:tcW w:w="0" w:type="auto"/>
                              <w:shd w:val="clear" w:color="auto" w:fill="FFFFFF"/>
                              <w:hideMark/>
                            </w:tcPr>
                            <w:p w14:paraId="42D63C40" w14:textId="77777777" w:rsidR="00563987" w:rsidRPr="00563987" w:rsidRDefault="00563987" w:rsidP="00563987">
                              <w:pPr>
                                <w:rPr>
                                  <w:rFonts w:eastAsiaTheme="minorHAnsi"/>
                                </w:rPr>
                              </w:pPr>
                              <w:r w:rsidRPr="00563987">
                                <w:rPr>
                                  <w:rFonts w:eastAsiaTheme="minorHAnsi"/>
                                </w:rPr>
                                <w:t>II. Study objective</w:t>
                              </w:r>
                            </w:p>
                          </w:tc>
                        </w:tr>
                        <w:tr w:rsidR="00563987" w:rsidRPr="00563987" w14:paraId="125CCE10" w14:textId="77777777">
                          <w:trPr>
                            <w:tblCellSpacing w:w="7" w:type="dxa"/>
                          </w:trPr>
                          <w:tc>
                            <w:tcPr>
                              <w:tcW w:w="0" w:type="auto"/>
                              <w:shd w:val="clear" w:color="auto" w:fill="FFFFFF"/>
                              <w:hideMark/>
                            </w:tcPr>
                            <w:p w14:paraId="2F956BFE" w14:textId="77777777" w:rsidR="00563987" w:rsidRPr="00563987" w:rsidRDefault="00563987" w:rsidP="00563987">
                              <w:pPr>
                                <w:rPr>
                                  <w:rFonts w:eastAsiaTheme="minorHAnsi"/>
                                </w:rPr>
                              </w:pPr>
                              <w:r w:rsidRPr="00563987">
                                <w:rPr>
                                  <w:rFonts w:eastAsiaTheme="minorHAnsi"/>
                                </w:rPr>
                                <w:t>III. Study design</w:t>
                              </w:r>
                            </w:p>
                          </w:tc>
                        </w:tr>
                        <w:tr w:rsidR="00563987" w:rsidRPr="00563987" w14:paraId="4CF32A6D" w14:textId="77777777">
                          <w:trPr>
                            <w:tblCellSpacing w:w="7" w:type="dxa"/>
                          </w:trPr>
                          <w:tc>
                            <w:tcPr>
                              <w:tcW w:w="0" w:type="auto"/>
                              <w:shd w:val="clear" w:color="auto" w:fill="FFFFFF"/>
                              <w:hideMark/>
                            </w:tcPr>
                            <w:p w14:paraId="0D59E6AD" w14:textId="77777777" w:rsidR="00563987" w:rsidRPr="00563987" w:rsidRDefault="00563987" w:rsidP="00563987">
                              <w:pPr>
                                <w:rPr>
                                  <w:rFonts w:eastAsiaTheme="minorHAnsi"/>
                                </w:rPr>
                              </w:pPr>
                              <w:r w:rsidRPr="00563987">
                                <w:rPr>
                                  <w:rFonts w:eastAsiaTheme="minorHAnsi"/>
                                </w:rPr>
                                <w:t>  A. Design</w:t>
                              </w:r>
                            </w:p>
                          </w:tc>
                        </w:tr>
                        <w:tr w:rsidR="00563987" w:rsidRPr="00563987" w14:paraId="1296B0BB" w14:textId="77777777">
                          <w:trPr>
                            <w:tblCellSpacing w:w="7" w:type="dxa"/>
                          </w:trPr>
                          <w:tc>
                            <w:tcPr>
                              <w:tcW w:w="0" w:type="auto"/>
                              <w:shd w:val="clear" w:color="auto" w:fill="FFFFFF"/>
                              <w:hideMark/>
                            </w:tcPr>
                            <w:p w14:paraId="27AF7E8D" w14:textId="77777777" w:rsidR="00563987" w:rsidRPr="00563987" w:rsidRDefault="00563987" w:rsidP="00563987">
                              <w:pPr>
                                <w:rPr>
                                  <w:rFonts w:eastAsiaTheme="minorHAnsi"/>
                                </w:rPr>
                              </w:pPr>
                              <w:r w:rsidRPr="00563987">
                                <w:rPr>
                                  <w:rFonts w:eastAsiaTheme="minorHAnsi"/>
                                </w:rPr>
                                <w:t>  B. Drug products</w:t>
                              </w:r>
                            </w:p>
                          </w:tc>
                        </w:tr>
                        <w:tr w:rsidR="00563987" w:rsidRPr="00563987" w14:paraId="2DB4C646" w14:textId="77777777">
                          <w:trPr>
                            <w:tblCellSpacing w:w="7" w:type="dxa"/>
                          </w:trPr>
                          <w:tc>
                            <w:tcPr>
                              <w:tcW w:w="0" w:type="auto"/>
                              <w:shd w:val="clear" w:color="auto" w:fill="FFFFFF"/>
                              <w:hideMark/>
                            </w:tcPr>
                            <w:p w14:paraId="3A06B0AE" w14:textId="77777777" w:rsidR="00563987" w:rsidRPr="00563987" w:rsidRDefault="00563987" w:rsidP="00563987">
                              <w:pPr>
                                <w:rPr>
                                  <w:rFonts w:eastAsiaTheme="minorHAnsi"/>
                                </w:rPr>
                              </w:pPr>
                              <w:r w:rsidRPr="00563987">
                                <w:rPr>
                                  <w:rFonts w:eastAsiaTheme="minorHAnsi"/>
                                </w:rPr>
                                <w:lastRenderedPageBreak/>
                                <w:t>    1. Test product(s)</w:t>
                              </w:r>
                            </w:p>
                          </w:tc>
                        </w:tr>
                        <w:tr w:rsidR="00563987" w:rsidRPr="00563987" w14:paraId="7A1DF651" w14:textId="77777777">
                          <w:trPr>
                            <w:tblCellSpacing w:w="7" w:type="dxa"/>
                          </w:trPr>
                          <w:tc>
                            <w:tcPr>
                              <w:tcW w:w="0" w:type="auto"/>
                              <w:shd w:val="clear" w:color="auto" w:fill="FFFFFF"/>
                              <w:hideMark/>
                            </w:tcPr>
                            <w:p w14:paraId="0B2734B7" w14:textId="77777777" w:rsidR="00563987" w:rsidRPr="00563987" w:rsidRDefault="00563987" w:rsidP="00563987">
                              <w:pPr>
                                <w:rPr>
                                  <w:rFonts w:eastAsiaTheme="minorHAnsi"/>
                                </w:rPr>
                              </w:pPr>
                              <w:r w:rsidRPr="00563987">
                                <w:rPr>
                                  <w:rFonts w:eastAsiaTheme="minorHAnsi"/>
                                </w:rPr>
                                <w:t>    2. Reference product</w:t>
                              </w:r>
                            </w:p>
                          </w:tc>
                        </w:tr>
                        <w:tr w:rsidR="00563987" w:rsidRPr="00563987" w14:paraId="370D4123" w14:textId="77777777">
                          <w:trPr>
                            <w:tblCellSpacing w:w="7" w:type="dxa"/>
                          </w:trPr>
                          <w:tc>
                            <w:tcPr>
                              <w:tcW w:w="0" w:type="auto"/>
                              <w:shd w:val="clear" w:color="auto" w:fill="FFFFFF"/>
                              <w:hideMark/>
                            </w:tcPr>
                            <w:p w14:paraId="6A7F7736" w14:textId="77777777" w:rsidR="00563987" w:rsidRPr="00563987" w:rsidRDefault="00563987" w:rsidP="00563987">
                              <w:pPr>
                                <w:rPr>
                                  <w:rFonts w:eastAsiaTheme="minorHAnsi"/>
                                </w:rPr>
                              </w:pPr>
                              <w:r w:rsidRPr="00563987">
                                <w:rPr>
                                  <w:rFonts w:eastAsiaTheme="minorHAnsi"/>
                                </w:rPr>
                                <w:t>  C. Dosage regimen</w:t>
                              </w:r>
                            </w:p>
                          </w:tc>
                        </w:tr>
                        <w:tr w:rsidR="00563987" w:rsidRPr="00563987" w14:paraId="2133FF90" w14:textId="77777777">
                          <w:trPr>
                            <w:tblCellSpacing w:w="7" w:type="dxa"/>
                          </w:trPr>
                          <w:tc>
                            <w:tcPr>
                              <w:tcW w:w="0" w:type="auto"/>
                              <w:shd w:val="clear" w:color="auto" w:fill="FFFFFF"/>
                              <w:hideMark/>
                            </w:tcPr>
                            <w:p w14:paraId="1288B27C" w14:textId="77777777" w:rsidR="00563987" w:rsidRPr="00563987" w:rsidRDefault="00563987" w:rsidP="00563987">
                              <w:pPr>
                                <w:rPr>
                                  <w:rFonts w:eastAsiaTheme="minorHAnsi"/>
                                </w:rPr>
                              </w:pPr>
                              <w:r w:rsidRPr="00563987">
                                <w:rPr>
                                  <w:rFonts w:eastAsiaTheme="minorHAnsi"/>
                                </w:rPr>
                                <w:t>  D. Sample collection schedule</w:t>
                              </w:r>
                            </w:p>
                          </w:tc>
                        </w:tr>
                        <w:tr w:rsidR="00563987" w:rsidRPr="00563987" w14:paraId="4580DF0F" w14:textId="77777777">
                          <w:trPr>
                            <w:tblCellSpacing w:w="7" w:type="dxa"/>
                          </w:trPr>
                          <w:tc>
                            <w:tcPr>
                              <w:tcW w:w="0" w:type="auto"/>
                              <w:shd w:val="clear" w:color="auto" w:fill="FFFFFF"/>
                              <w:hideMark/>
                            </w:tcPr>
                            <w:p w14:paraId="62DFF9D9" w14:textId="77777777" w:rsidR="00563987" w:rsidRPr="00563987" w:rsidRDefault="00563987" w:rsidP="00563987">
                              <w:pPr>
                                <w:rPr>
                                  <w:rFonts w:eastAsiaTheme="minorHAnsi"/>
                                </w:rPr>
                              </w:pPr>
                              <w:r w:rsidRPr="00563987">
                                <w:rPr>
                                  <w:rFonts w:eastAsiaTheme="minorHAnsi"/>
                                </w:rPr>
                                <w:t>  E. Housing/confinement</w:t>
                              </w:r>
                            </w:p>
                          </w:tc>
                        </w:tr>
                        <w:tr w:rsidR="00563987" w:rsidRPr="00563987" w14:paraId="47639A4D" w14:textId="77777777">
                          <w:trPr>
                            <w:tblCellSpacing w:w="7" w:type="dxa"/>
                          </w:trPr>
                          <w:tc>
                            <w:tcPr>
                              <w:tcW w:w="0" w:type="auto"/>
                              <w:shd w:val="clear" w:color="auto" w:fill="FFFFFF"/>
                              <w:hideMark/>
                            </w:tcPr>
                            <w:p w14:paraId="7BFA2B7F" w14:textId="77777777" w:rsidR="00563987" w:rsidRPr="00563987" w:rsidRDefault="00563987" w:rsidP="00563987">
                              <w:pPr>
                                <w:rPr>
                                  <w:rFonts w:eastAsiaTheme="minorHAnsi"/>
                                </w:rPr>
                              </w:pPr>
                              <w:r w:rsidRPr="00563987">
                                <w:rPr>
                                  <w:rFonts w:eastAsiaTheme="minorHAnsi"/>
                                </w:rPr>
                                <w:t>  F. Fasting/meals schedule</w:t>
                              </w:r>
                            </w:p>
                          </w:tc>
                        </w:tr>
                        <w:tr w:rsidR="00563987" w:rsidRPr="00563987" w14:paraId="0EAE1215" w14:textId="77777777">
                          <w:trPr>
                            <w:tblCellSpacing w:w="7" w:type="dxa"/>
                          </w:trPr>
                          <w:tc>
                            <w:tcPr>
                              <w:tcW w:w="0" w:type="auto"/>
                              <w:shd w:val="clear" w:color="auto" w:fill="FFFFFF"/>
                              <w:hideMark/>
                            </w:tcPr>
                            <w:p w14:paraId="53235CDB" w14:textId="77777777" w:rsidR="00563987" w:rsidRPr="00563987" w:rsidRDefault="00563987" w:rsidP="00563987">
                              <w:pPr>
                                <w:rPr>
                                  <w:rFonts w:eastAsiaTheme="minorHAnsi"/>
                                </w:rPr>
                              </w:pPr>
                              <w:r w:rsidRPr="00563987">
                                <w:rPr>
                                  <w:rFonts w:eastAsiaTheme="minorHAnsi"/>
                                </w:rPr>
                                <w:t>  G. Analytical methods</w:t>
                              </w:r>
                            </w:p>
                          </w:tc>
                        </w:tr>
                        <w:tr w:rsidR="00563987" w:rsidRPr="00563987" w14:paraId="415DDBB9" w14:textId="77777777">
                          <w:trPr>
                            <w:tblCellSpacing w:w="7" w:type="dxa"/>
                          </w:trPr>
                          <w:tc>
                            <w:tcPr>
                              <w:tcW w:w="0" w:type="auto"/>
                              <w:shd w:val="clear" w:color="auto" w:fill="FFFFFF"/>
                              <w:hideMark/>
                            </w:tcPr>
                            <w:p w14:paraId="46F85EE9" w14:textId="77777777" w:rsidR="00563987" w:rsidRPr="00563987" w:rsidRDefault="00563987" w:rsidP="00563987">
                              <w:pPr>
                                <w:rPr>
                                  <w:rFonts w:eastAsiaTheme="minorHAnsi"/>
                                </w:rPr>
                              </w:pPr>
                              <w:r w:rsidRPr="00563987">
                                <w:rPr>
                                  <w:rFonts w:eastAsiaTheme="minorHAnsi"/>
                                </w:rPr>
                                <w:t>IV. Study population</w:t>
                              </w:r>
                            </w:p>
                          </w:tc>
                        </w:tr>
                        <w:tr w:rsidR="00563987" w:rsidRPr="00563987" w14:paraId="0103B7C7" w14:textId="77777777">
                          <w:trPr>
                            <w:tblCellSpacing w:w="7" w:type="dxa"/>
                          </w:trPr>
                          <w:tc>
                            <w:tcPr>
                              <w:tcW w:w="0" w:type="auto"/>
                              <w:shd w:val="clear" w:color="auto" w:fill="FFFFFF"/>
                              <w:hideMark/>
                            </w:tcPr>
                            <w:p w14:paraId="48C32232" w14:textId="77777777" w:rsidR="00563987" w:rsidRPr="00563987" w:rsidRDefault="00563987" w:rsidP="00563987">
                              <w:pPr>
                                <w:rPr>
                                  <w:rFonts w:eastAsiaTheme="minorHAnsi"/>
                                </w:rPr>
                              </w:pPr>
                              <w:r w:rsidRPr="00563987">
                                <w:rPr>
                                  <w:rFonts w:eastAsiaTheme="minorHAnsi"/>
                                </w:rPr>
                                <w:t>  A. Subjects</w:t>
                              </w:r>
                            </w:p>
                          </w:tc>
                        </w:tr>
                        <w:tr w:rsidR="00563987" w:rsidRPr="00563987" w14:paraId="5B12E63D" w14:textId="77777777">
                          <w:trPr>
                            <w:tblCellSpacing w:w="7" w:type="dxa"/>
                          </w:trPr>
                          <w:tc>
                            <w:tcPr>
                              <w:tcW w:w="0" w:type="auto"/>
                              <w:shd w:val="clear" w:color="auto" w:fill="FFFFFF"/>
                              <w:hideMark/>
                            </w:tcPr>
                            <w:p w14:paraId="06ADF815" w14:textId="77777777" w:rsidR="00563987" w:rsidRPr="00563987" w:rsidRDefault="00563987" w:rsidP="00563987">
                              <w:pPr>
                                <w:rPr>
                                  <w:rFonts w:eastAsiaTheme="minorHAnsi"/>
                                </w:rPr>
                              </w:pPr>
                              <w:r w:rsidRPr="00563987">
                                <w:rPr>
                                  <w:rFonts w:eastAsiaTheme="minorHAnsi"/>
                                </w:rPr>
                                <w:t>  B. Subject selection</w:t>
                              </w:r>
                            </w:p>
                          </w:tc>
                        </w:tr>
                        <w:tr w:rsidR="00563987" w:rsidRPr="00563987" w14:paraId="49B10C1D" w14:textId="77777777">
                          <w:trPr>
                            <w:tblCellSpacing w:w="7" w:type="dxa"/>
                          </w:trPr>
                          <w:tc>
                            <w:tcPr>
                              <w:tcW w:w="0" w:type="auto"/>
                              <w:shd w:val="clear" w:color="auto" w:fill="FFFFFF"/>
                              <w:hideMark/>
                            </w:tcPr>
                            <w:p w14:paraId="7F17A8BB" w14:textId="77777777" w:rsidR="00563987" w:rsidRPr="00563987" w:rsidRDefault="00563987" w:rsidP="00563987">
                              <w:pPr>
                                <w:rPr>
                                  <w:rFonts w:eastAsiaTheme="minorHAnsi"/>
                                </w:rPr>
                              </w:pPr>
                              <w:r w:rsidRPr="00563987">
                                <w:rPr>
                                  <w:rFonts w:eastAsiaTheme="minorHAnsi"/>
                                </w:rPr>
                                <w:t>    1. Medical history</w:t>
                              </w:r>
                            </w:p>
                          </w:tc>
                        </w:tr>
                        <w:tr w:rsidR="00563987" w:rsidRPr="00563987" w14:paraId="02F8524F" w14:textId="77777777">
                          <w:trPr>
                            <w:tblCellSpacing w:w="7" w:type="dxa"/>
                          </w:trPr>
                          <w:tc>
                            <w:tcPr>
                              <w:tcW w:w="0" w:type="auto"/>
                              <w:shd w:val="clear" w:color="auto" w:fill="FFFFFF"/>
                              <w:hideMark/>
                            </w:tcPr>
                            <w:p w14:paraId="282A89E1" w14:textId="77777777" w:rsidR="00563987" w:rsidRPr="00563987" w:rsidRDefault="00563987" w:rsidP="00563987">
                              <w:pPr>
                                <w:rPr>
                                  <w:rFonts w:eastAsiaTheme="minorHAnsi"/>
                                </w:rPr>
                              </w:pPr>
                              <w:r w:rsidRPr="00563987">
                                <w:rPr>
                                  <w:rFonts w:eastAsiaTheme="minorHAnsi"/>
                                </w:rPr>
                                <w:t>    2. Physical examination</w:t>
                              </w:r>
                            </w:p>
                          </w:tc>
                        </w:tr>
                        <w:tr w:rsidR="00563987" w:rsidRPr="00563987" w14:paraId="717A374F" w14:textId="77777777">
                          <w:trPr>
                            <w:tblCellSpacing w:w="7" w:type="dxa"/>
                          </w:trPr>
                          <w:tc>
                            <w:tcPr>
                              <w:tcW w:w="0" w:type="auto"/>
                              <w:shd w:val="clear" w:color="auto" w:fill="FFFFFF"/>
                              <w:hideMark/>
                            </w:tcPr>
                            <w:p w14:paraId="0B7A64D0" w14:textId="77777777" w:rsidR="00563987" w:rsidRPr="00563987" w:rsidRDefault="00563987" w:rsidP="00563987">
                              <w:pPr>
                                <w:rPr>
                                  <w:rFonts w:eastAsiaTheme="minorHAnsi"/>
                                </w:rPr>
                              </w:pPr>
                              <w:r w:rsidRPr="00563987">
                                <w:rPr>
                                  <w:rFonts w:eastAsiaTheme="minorHAnsi"/>
                                </w:rPr>
                                <w:t>    3. Laboratory tests</w:t>
                              </w:r>
                            </w:p>
                          </w:tc>
                        </w:tr>
                        <w:tr w:rsidR="00563987" w:rsidRPr="00563987" w14:paraId="7E0AB1ED" w14:textId="77777777">
                          <w:trPr>
                            <w:tblCellSpacing w:w="7" w:type="dxa"/>
                          </w:trPr>
                          <w:tc>
                            <w:tcPr>
                              <w:tcW w:w="0" w:type="auto"/>
                              <w:shd w:val="clear" w:color="auto" w:fill="FFFFFF"/>
                              <w:hideMark/>
                            </w:tcPr>
                            <w:p w14:paraId="78A8C7EC" w14:textId="77777777" w:rsidR="00563987" w:rsidRPr="00563987" w:rsidRDefault="00563987" w:rsidP="00563987">
                              <w:pPr>
                                <w:rPr>
                                  <w:rFonts w:eastAsiaTheme="minorHAnsi"/>
                                </w:rPr>
                              </w:pPr>
                              <w:r w:rsidRPr="00563987">
                                <w:rPr>
                                  <w:rFonts w:eastAsiaTheme="minorHAnsi"/>
                                </w:rPr>
                                <w:t>  C. Inclusion/exclusion criteria</w:t>
                              </w:r>
                            </w:p>
                          </w:tc>
                        </w:tr>
                        <w:tr w:rsidR="00563987" w:rsidRPr="00563987" w14:paraId="1700E424" w14:textId="77777777">
                          <w:trPr>
                            <w:tblCellSpacing w:w="7" w:type="dxa"/>
                          </w:trPr>
                          <w:tc>
                            <w:tcPr>
                              <w:tcW w:w="0" w:type="auto"/>
                              <w:shd w:val="clear" w:color="auto" w:fill="FFFFFF"/>
                              <w:hideMark/>
                            </w:tcPr>
                            <w:p w14:paraId="7B58C169" w14:textId="77777777" w:rsidR="00563987" w:rsidRPr="00563987" w:rsidRDefault="00563987" w:rsidP="00563987">
                              <w:pPr>
                                <w:rPr>
                                  <w:rFonts w:eastAsiaTheme="minorHAnsi"/>
                                </w:rPr>
                              </w:pPr>
                              <w:r w:rsidRPr="00563987">
                                <w:rPr>
                                  <w:rFonts w:eastAsiaTheme="minorHAnsi"/>
                                </w:rPr>
                                <w:t>    1. Inclusion criteria</w:t>
                              </w:r>
                            </w:p>
                          </w:tc>
                        </w:tr>
                        <w:tr w:rsidR="00563987" w:rsidRPr="00563987" w14:paraId="73FB58E0" w14:textId="77777777">
                          <w:trPr>
                            <w:tblCellSpacing w:w="7" w:type="dxa"/>
                          </w:trPr>
                          <w:tc>
                            <w:tcPr>
                              <w:tcW w:w="0" w:type="auto"/>
                              <w:shd w:val="clear" w:color="auto" w:fill="FFFFFF"/>
                              <w:hideMark/>
                            </w:tcPr>
                            <w:p w14:paraId="183CEA75" w14:textId="77777777" w:rsidR="00563987" w:rsidRPr="00563987" w:rsidRDefault="00563987" w:rsidP="00563987">
                              <w:pPr>
                                <w:rPr>
                                  <w:rFonts w:eastAsiaTheme="minorHAnsi"/>
                                </w:rPr>
                              </w:pPr>
                              <w:r w:rsidRPr="00563987">
                                <w:rPr>
                                  <w:rFonts w:eastAsiaTheme="minorHAnsi"/>
                                </w:rPr>
                                <w:t>    2. Exclusion criteria</w:t>
                              </w:r>
                            </w:p>
                          </w:tc>
                        </w:tr>
                        <w:tr w:rsidR="00563987" w:rsidRPr="00563987" w14:paraId="2CDE04C6" w14:textId="77777777">
                          <w:trPr>
                            <w:tblCellSpacing w:w="7" w:type="dxa"/>
                          </w:trPr>
                          <w:tc>
                            <w:tcPr>
                              <w:tcW w:w="0" w:type="auto"/>
                              <w:shd w:val="clear" w:color="auto" w:fill="FFFFFF"/>
                              <w:hideMark/>
                            </w:tcPr>
                            <w:p w14:paraId="0C8D896E" w14:textId="77777777" w:rsidR="00563987" w:rsidRPr="00563987" w:rsidRDefault="00563987" w:rsidP="00563987">
                              <w:pPr>
                                <w:rPr>
                                  <w:rFonts w:eastAsiaTheme="minorHAnsi"/>
                                </w:rPr>
                              </w:pPr>
                              <w:r w:rsidRPr="00563987">
                                <w:rPr>
                                  <w:rFonts w:eastAsiaTheme="minorHAnsi"/>
                                </w:rPr>
                                <w:t>  D. Restrictions/prohibitions</w:t>
                              </w:r>
                            </w:p>
                          </w:tc>
                        </w:tr>
                        <w:tr w:rsidR="00563987" w:rsidRPr="00563987" w14:paraId="651654F9" w14:textId="77777777">
                          <w:trPr>
                            <w:tblCellSpacing w:w="7" w:type="dxa"/>
                          </w:trPr>
                          <w:tc>
                            <w:tcPr>
                              <w:tcW w:w="0" w:type="auto"/>
                              <w:shd w:val="clear" w:color="auto" w:fill="FFFFFF"/>
                              <w:hideMark/>
                            </w:tcPr>
                            <w:p w14:paraId="5C69E22A" w14:textId="77777777" w:rsidR="00563987" w:rsidRPr="00563987" w:rsidRDefault="00563987" w:rsidP="00563987">
                              <w:pPr>
                                <w:rPr>
                                  <w:rFonts w:eastAsiaTheme="minorHAnsi"/>
                                </w:rPr>
                              </w:pPr>
                              <w:r w:rsidRPr="00563987">
                                <w:rPr>
                                  <w:rFonts w:eastAsiaTheme="minorHAnsi"/>
                                </w:rPr>
                                <w:t>V. Clinical procedures</w:t>
                              </w:r>
                            </w:p>
                          </w:tc>
                        </w:tr>
                        <w:tr w:rsidR="00563987" w:rsidRPr="00563987" w14:paraId="79D95493" w14:textId="77777777">
                          <w:trPr>
                            <w:tblCellSpacing w:w="7" w:type="dxa"/>
                          </w:trPr>
                          <w:tc>
                            <w:tcPr>
                              <w:tcW w:w="0" w:type="auto"/>
                              <w:shd w:val="clear" w:color="auto" w:fill="FFFFFF"/>
                              <w:hideMark/>
                            </w:tcPr>
                            <w:p w14:paraId="24C6CDFE" w14:textId="77777777" w:rsidR="00563987" w:rsidRPr="00563987" w:rsidRDefault="00563987" w:rsidP="00563987">
                              <w:pPr>
                                <w:rPr>
                                  <w:rFonts w:eastAsiaTheme="minorHAnsi"/>
                                </w:rPr>
                              </w:pPr>
                              <w:r w:rsidRPr="00563987">
                                <w:rPr>
                                  <w:rFonts w:eastAsiaTheme="minorHAnsi"/>
                                </w:rPr>
                                <w:t>  A. Dosage and drug administration</w:t>
                              </w:r>
                            </w:p>
                          </w:tc>
                        </w:tr>
                        <w:tr w:rsidR="00563987" w:rsidRPr="00563987" w14:paraId="71F688DA" w14:textId="77777777">
                          <w:trPr>
                            <w:tblCellSpacing w:w="7" w:type="dxa"/>
                          </w:trPr>
                          <w:tc>
                            <w:tcPr>
                              <w:tcW w:w="0" w:type="auto"/>
                              <w:shd w:val="clear" w:color="auto" w:fill="FFFFFF"/>
                              <w:hideMark/>
                            </w:tcPr>
                            <w:p w14:paraId="218E7A4C" w14:textId="77777777" w:rsidR="00563987" w:rsidRPr="00563987" w:rsidRDefault="00563987" w:rsidP="00563987">
                              <w:pPr>
                                <w:rPr>
                                  <w:rFonts w:eastAsiaTheme="minorHAnsi"/>
                                </w:rPr>
                              </w:pPr>
                              <w:r w:rsidRPr="00563987">
                                <w:rPr>
                                  <w:rFonts w:eastAsiaTheme="minorHAnsi"/>
                                </w:rPr>
                                <w:t>  B. Biological sampling schedule and handling procedures</w:t>
                              </w:r>
                            </w:p>
                          </w:tc>
                        </w:tr>
                        <w:tr w:rsidR="00563987" w:rsidRPr="00563987" w14:paraId="35EBAEF0" w14:textId="77777777">
                          <w:trPr>
                            <w:tblCellSpacing w:w="7" w:type="dxa"/>
                          </w:trPr>
                          <w:tc>
                            <w:tcPr>
                              <w:tcW w:w="0" w:type="auto"/>
                              <w:shd w:val="clear" w:color="auto" w:fill="FFFFFF"/>
                              <w:hideMark/>
                            </w:tcPr>
                            <w:p w14:paraId="19ED0BD5" w14:textId="77777777" w:rsidR="00563987" w:rsidRPr="00563987" w:rsidRDefault="00563987" w:rsidP="00563987">
                              <w:pPr>
                                <w:rPr>
                                  <w:rFonts w:eastAsiaTheme="minorHAnsi"/>
                                </w:rPr>
                              </w:pPr>
                              <w:r w:rsidRPr="00563987">
                                <w:rPr>
                                  <w:rFonts w:eastAsiaTheme="minorHAnsi"/>
                                </w:rPr>
                                <w:t>  C. Activity of subjects</w:t>
                              </w:r>
                            </w:p>
                          </w:tc>
                        </w:tr>
                        <w:tr w:rsidR="00563987" w:rsidRPr="00563987" w14:paraId="63797BE4" w14:textId="77777777">
                          <w:trPr>
                            <w:tblCellSpacing w:w="7" w:type="dxa"/>
                          </w:trPr>
                          <w:tc>
                            <w:tcPr>
                              <w:tcW w:w="0" w:type="auto"/>
                              <w:shd w:val="clear" w:color="auto" w:fill="FFFFFF"/>
                              <w:hideMark/>
                            </w:tcPr>
                            <w:p w14:paraId="2DA30EBF" w14:textId="77777777" w:rsidR="00563987" w:rsidRPr="00563987" w:rsidRDefault="00563987" w:rsidP="00563987">
                              <w:pPr>
                                <w:rPr>
                                  <w:rFonts w:eastAsiaTheme="minorHAnsi"/>
                                </w:rPr>
                              </w:pPr>
                              <w:r w:rsidRPr="00563987">
                                <w:rPr>
                                  <w:rFonts w:eastAsiaTheme="minorHAnsi"/>
                                </w:rPr>
                                <w:t>VI. Ethical considerations</w:t>
                              </w:r>
                            </w:p>
                          </w:tc>
                        </w:tr>
                        <w:tr w:rsidR="00563987" w:rsidRPr="00563987" w14:paraId="0A531BA0" w14:textId="77777777">
                          <w:trPr>
                            <w:tblCellSpacing w:w="7" w:type="dxa"/>
                          </w:trPr>
                          <w:tc>
                            <w:tcPr>
                              <w:tcW w:w="0" w:type="auto"/>
                              <w:shd w:val="clear" w:color="auto" w:fill="FFFFFF"/>
                              <w:hideMark/>
                            </w:tcPr>
                            <w:p w14:paraId="4692D71C" w14:textId="77777777" w:rsidR="00563987" w:rsidRPr="00563987" w:rsidRDefault="00563987" w:rsidP="00563987">
                              <w:pPr>
                                <w:rPr>
                                  <w:rFonts w:eastAsiaTheme="minorHAnsi"/>
                                </w:rPr>
                              </w:pPr>
                              <w:r w:rsidRPr="00563987">
                                <w:rPr>
                                  <w:rFonts w:eastAsiaTheme="minorHAnsi"/>
                                </w:rPr>
                                <w:t>  A. Basic principles</w:t>
                              </w:r>
                            </w:p>
                          </w:tc>
                        </w:tr>
                        <w:tr w:rsidR="00563987" w:rsidRPr="00563987" w14:paraId="055985DA" w14:textId="77777777">
                          <w:trPr>
                            <w:tblCellSpacing w:w="7" w:type="dxa"/>
                          </w:trPr>
                          <w:tc>
                            <w:tcPr>
                              <w:tcW w:w="0" w:type="auto"/>
                              <w:shd w:val="clear" w:color="auto" w:fill="FFFFFF"/>
                              <w:hideMark/>
                            </w:tcPr>
                            <w:p w14:paraId="3157836C" w14:textId="77777777" w:rsidR="00563987" w:rsidRPr="00563987" w:rsidRDefault="00563987" w:rsidP="00563987">
                              <w:pPr>
                                <w:rPr>
                                  <w:rFonts w:eastAsiaTheme="minorHAnsi"/>
                                </w:rPr>
                              </w:pPr>
                              <w:r w:rsidRPr="00563987">
                                <w:rPr>
                                  <w:rFonts w:eastAsiaTheme="minorHAnsi"/>
                                </w:rPr>
                                <w:t>  B. Institutional review board</w:t>
                              </w:r>
                            </w:p>
                          </w:tc>
                        </w:tr>
                        <w:tr w:rsidR="00563987" w:rsidRPr="00563987" w14:paraId="3D497D0F" w14:textId="77777777">
                          <w:trPr>
                            <w:tblCellSpacing w:w="7" w:type="dxa"/>
                          </w:trPr>
                          <w:tc>
                            <w:tcPr>
                              <w:tcW w:w="0" w:type="auto"/>
                              <w:shd w:val="clear" w:color="auto" w:fill="FFFFFF"/>
                              <w:hideMark/>
                            </w:tcPr>
                            <w:p w14:paraId="5670B7D6" w14:textId="77777777" w:rsidR="00563987" w:rsidRPr="00563987" w:rsidRDefault="00563987" w:rsidP="00563987">
                              <w:pPr>
                                <w:rPr>
                                  <w:rFonts w:eastAsiaTheme="minorHAnsi"/>
                                </w:rPr>
                              </w:pPr>
                              <w:r w:rsidRPr="00563987">
                                <w:rPr>
                                  <w:rFonts w:eastAsiaTheme="minorHAnsi"/>
                                </w:rPr>
                                <w:t>  C. Informed consent</w:t>
                              </w:r>
                            </w:p>
                          </w:tc>
                        </w:tr>
                        <w:tr w:rsidR="00563987" w:rsidRPr="00563987" w14:paraId="51E1300F" w14:textId="77777777">
                          <w:trPr>
                            <w:tblCellSpacing w:w="7" w:type="dxa"/>
                          </w:trPr>
                          <w:tc>
                            <w:tcPr>
                              <w:tcW w:w="0" w:type="auto"/>
                              <w:shd w:val="clear" w:color="auto" w:fill="FFFFFF"/>
                              <w:hideMark/>
                            </w:tcPr>
                            <w:p w14:paraId="474F8D01" w14:textId="77777777" w:rsidR="00563987" w:rsidRPr="00563987" w:rsidRDefault="00563987" w:rsidP="00563987">
                              <w:pPr>
                                <w:rPr>
                                  <w:rFonts w:eastAsiaTheme="minorHAnsi"/>
                                </w:rPr>
                              </w:pPr>
                              <w:r w:rsidRPr="00563987">
                                <w:rPr>
                                  <w:rFonts w:eastAsiaTheme="minorHAnsi"/>
                                </w:rPr>
                                <w:t>  D. Indications for subject withdrawal</w:t>
                              </w:r>
                            </w:p>
                          </w:tc>
                        </w:tr>
                        <w:tr w:rsidR="00563987" w:rsidRPr="00563987" w14:paraId="0B23640B" w14:textId="77777777">
                          <w:trPr>
                            <w:tblCellSpacing w:w="7" w:type="dxa"/>
                          </w:trPr>
                          <w:tc>
                            <w:tcPr>
                              <w:tcW w:w="0" w:type="auto"/>
                              <w:shd w:val="clear" w:color="auto" w:fill="FFFFFF"/>
                              <w:hideMark/>
                            </w:tcPr>
                            <w:p w14:paraId="46FDA157" w14:textId="77777777" w:rsidR="00563987" w:rsidRPr="00563987" w:rsidRDefault="00563987" w:rsidP="00563987">
                              <w:pPr>
                                <w:rPr>
                                  <w:rFonts w:eastAsiaTheme="minorHAnsi"/>
                                </w:rPr>
                              </w:pPr>
                              <w:r w:rsidRPr="00563987">
                                <w:rPr>
                                  <w:rFonts w:eastAsiaTheme="minorHAnsi"/>
                                </w:rPr>
                                <w:t>  E. Adverse reactions and emergency procedures</w:t>
                              </w:r>
                            </w:p>
                          </w:tc>
                        </w:tr>
                        <w:tr w:rsidR="00563987" w:rsidRPr="00563987" w14:paraId="0F114B23" w14:textId="77777777">
                          <w:trPr>
                            <w:tblCellSpacing w:w="7" w:type="dxa"/>
                          </w:trPr>
                          <w:tc>
                            <w:tcPr>
                              <w:tcW w:w="0" w:type="auto"/>
                              <w:shd w:val="clear" w:color="auto" w:fill="FFFFFF"/>
                              <w:hideMark/>
                            </w:tcPr>
                            <w:p w14:paraId="67C1C0E0" w14:textId="77777777" w:rsidR="00563987" w:rsidRPr="00563987" w:rsidRDefault="00563987" w:rsidP="00563987">
                              <w:pPr>
                                <w:rPr>
                                  <w:rFonts w:eastAsiaTheme="minorHAnsi"/>
                                </w:rPr>
                              </w:pPr>
                              <w:r w:rsidRPr="00563987">
                                <w:rPr>
                                  <w:rFonts w:eastAsiaTheme="minorHAnsi"/>
                                </w:rPr>
                                <w:t>VII. Facilities</w:t>
                              </w:r>
                            </w:p>
                          </w:tc>
                        </w:tr>
                        <w:tr w:rsidR="00563987" w:rsidRPr="00563987" w14:paraId="296C4B7B" w14:textId="77777777">
                          <w:trPr>
                            <w:tblCellSpacing w:w="7" w:type="dxa"/>
                          </w:trPr>
                          <w:tc>
                            <w:tcPr>
                              <w:tcW w:w="0" w:type="auto"/>
                              <w:shd w:val="clear" w:color="auto" w:fill="FFFFFF"/>
                              <w:hideMark/>
                            </w:tcPr>
                            <w:p w14:paraId="257C3790" w14:textId="77777777" w:rsidR="00563987" w:rsidRPr="00563987" w:rsidRDefault="00563987" w:rsidP="00563987">
                              <w:pPr>
                                <w:rPr>
                                  <w:rFonts w:eastAsiaTheme="minorHAnsi"/>
                                </w:rPr>
                              </w:pPr>
                              <w:r w:rsidRPr="00563987">
                                <w:rPr>
                                  <w:rFonts w:eastAsiaTheme="minorHAnsi"/>
                                </w:rPr>
                                <w:t>VIII. Data analysis</w:t>
                              </w:r>
                            </w:p>
                          </w:tc>
                        </w:tr>
                        <w:tr w:rsidR="00563987" w:rsidRPr="00563987" w14:paraId="07C21ACC" w14:textId="77777777">
                          <w:trPr>
                            <w:tblCellSpacing w:w="7" w:type="dxa"/>
                          </w:trPr>
                          <w:tc>
                            <w:tcPr>
                              <w:tcW w:w="0" w:type="auto"/>
                              <w:shd w:val="clear" w:color="auto" w:fill="FFFFFF"/>
                              <w:hideMark/>
                            </w:tcPr>
                            <w:p w14:paraId="3A98820E" w14:textId="77777777" w:rsidR="00563987" w:rsidRPr="00563987" w:rsidRDefault="00563987" w:rsidP="00563987">
                              <w:pPr>
                                <w:rPr>
                                  <w:rFonts w:eastAsiaTheme="minorHAnsi"/>
                                </w:rPr>
                              </w:pPr>
                              <w:r w:rsidRPr="00563987">
                                <w:rPr>
                                  <w:rFonts w:eastAsiaTheme="minorHAnsi"/>
                                </w:rPr>
                                <w:t>  A. Analytical validation procedure</w:t>
                              </w:r>
                            </w:p>
                          </w:tc>
                        </w:tr>
                        <w:tr w:rsidR="00563987" w:rsidRPr="00563987" w14:paraId="2FB7B26B" w14:textId="77777777">
                          <w:trPr>
                            <w:tblCellSpacing w:w="7" w:type="dxa"/>
                          </w:trPr>
                          <w:tc>
                            <w:tcPr>
                              <w:tcW w:w="0" w:type="auto"/>
                              <w:shd w:val="clear" w:color="auto" w:fill="FFFFFF"/>
                              <w:hideMark/>
                            </w:tcPr>
                            <w:p w14:paraId="3C8AB111" w14:textId="77777777" w:rsidR="00563987" w:rsidRPr="00563987" w:rsidRDefault="00563987" w:rsidP="00563987">
                              <w:pPr>
                                <w:rPr>
                                  <w:rFonts w:eastAsiaTheme="minorHAnsi"/>
                                </w:rPr>
                              </w:pPr>
                              <w:r w:rsidRPr="00563987">
                                <w:rPr>
                                  <w:rFonts w:eastAsiaTheme="minorHAnsi"/>
                                </w:rPr>
                                <w:t>  B. Statistical treatment of data</w:t>
                              </w:r>
                            </w:p>
                          </w:tc>
                        </w:tr>
                        <w:tr w:rsidR="00563987" w:rsidRPr="00563987" w14:paraId="1E02BFE4" w14:textId="77777777">
                          <w:trPr>
                            <w:tblCellSpacing w:w="7" w:type="dxa"/>
                          </w:trPr>
                          <w:tc>
                            <w:tcPr>
                              <w:tcW w:w="0" w:type="auto"/>
                              <w:shd w:val="clear" w:color="auto" w:fill="FFFFFF"/>
                              <w:hideMark/>
                            </w:tcPr>
                            <w:p w14:paraId="35447329" w14:textId="77777777" w:rsidR="00563987" w:rsidRPr="00563987" w:rsidRDefault="00563987" w:rsidP="00563987">
                              <w:pPr>
                                <w:rPr>
                                  <w:rFonts w:eastAsiaTheme="minorHAnsi"/>
                                </w:rPr>
                              </w:pPr>
                              <w:r w:rsidRPr="00563987">
                                <w:rPr>
                                  <w:rFonts w:eastAsiaTheme="minorHAnsi"/>
                                </w:rPr>
                                <w:t>IX. Drug accountability</w:t>
                              </w:r>
                            </w:p>
                          </w:tc>
                        </w:tr>
                        <w:tr w:rsidR="00563987" w:rsidRPr="00563987" w14:paraId="0BCD5604" w14:textId="77777777">
                          <w:trPr>
                            <w:tblCellSpacing w:w="7" w:type="dxa"/>
                          </w:trPr>
                          <w:tc>
                            <w:tcPr>
                              <w:tcW w:w="0" w:type="auto"/>
                              <w:shd w:val="clear" w:color="auto" w:fill="FFFFFF"/>
                              <w:hideMark/>
                            </w:tcPr>
                            <w:p w14:paraId="6A88590E" w14:textId="77777777" w:rsidR="00563987" w:rsidRPr="00563987" w:rsidRDefault="00563987" w:rsidP="00563987">
                              <w:pPr>
                                <w:rPr>
                                  <w:rFonts w:eastAsiaTheme="minorHAnsi"/>
                                </w:rPr>
                              </w:pPr>
                              <w:r w:rsidRPr="00563987">
                                <w:rPr>
                                  <w:rFonts w:eastAsiaTheme="minorHAnsi"/>
                                </w:rPr>
                                <w:t>X. Appendix</w:t>
                              </w:r>
                            </w:p>
                          </w:tc>
                        </w:tr>
                      </w:tbl>
                      <w:p w14:paraId="5F698874" w14:textId="77777777" w:rsidR="00563987" w:rsidRPr="00563987" w:rsidRDefault="00563987" w:rsidP="00563987">
                        <w:pPr>
                          <w:rPr>
                            <w:rFonts w:eastAsiaTheme="minorHAnsi"/>
                          </w:rPr>
                        </w:pPr>
                      </w:p>
                    </w:tc>
                  </w:tr>
                  <w:tr w:rsidR="00563987" w:rsidRPr="00563987" w14:paraId="651A8B8E" w14:textId="77777777">
                    <w:trPr>
                      <w:tblCellSpacing w:w="0" w:type="dxa"/>
                    </w:trPr>
                    <w:tc>
                      <w:tcPr>
                        <w:tcW w:w="0" w:type="auto"/>
                        <w:shd w:val="clear" w:color="auto" w:fill="FFFFFF"/>
                        <w:vAlign w:val="center"/>
                        <w:hideMark/>
                      </w:tcPr>
                      <w:p w14:paraId="41C2B159" w14:textId="77777777" w:rsidR="00563987" w:rsidRPr="00563987" w:rsidRDefault="00563987" w:rsidP="00563987">
                        <w:pPr>
                          <w:rPr>
                            <w:rFonts w:eastAsiaTheme="minorHAnsi"/>
                          </w:rPr>
                        </w:pPr>
                      </w:p>
                    </w:tc>
                  </w:tr>
                </w:tbl>
                <w:p w14:paraId="4668B9D3" w14:textId="77777777" w:rsidR="00563987" w:rsidRPr="00563987" w:rsidRDefault="00563987" w:rsidP="00563987">
                  <w:pPr>
                    <w:rPr>
                      <w:rFonts w:eastAsiaTheme="minorHAnsi"/>
                    </w:rPr>
                  </w:pPr>
                  <w:bookmarkStart w:id="87" w:name="2481697"/>
                  <w:bookmarkEnd w:id="87"/>
                  <w:r w:rsidRPr="00563987">
                    <w:rPr>
                      <w:rFonts w:eastAsiaTheme="minorHAnsi"/>
                    </w:rPr>
                    <w:t>For bioequivalence studies, the test and reference drug formulations must contain the pharmaceutical equivalent drug in the same dose strength, in similar dosage forms (</w:t>
                  </w:r>
                  <w:proofErr w:type="spellStart"/>
                  <w:r w:rsidRPr="00563987">
                    <w:rPr>
                      <w:rFonts w:eastAsiaTheme="minorHAnsi"/>
                    </w:rPr>
                    <w:t>eg</w:t>
                  </w:r>
                  <w:proofErr w:type="spellEnd"/>
                  <w:r w:rsidRPr="00563987">
                    <w:rPr>
                      <w:rFonts w:eastAsiaTheme="minorHAnsi"/>
                    </w:rPr>
                    <w:t xml:space="preserve">, immediate release or controlled release), and be given by the same route of administration. Both a single-dose and/or a multiple-dose (steady-state) study may be required. Before beginning the study, the </w:t>
                  </w:r>
                  <w:r w:rsidRPr="00563987">
                    <w:rPr>
                      <w:rFonts w:eastAsiaTheme="minorHAnsi"/>
                      <w:i/>
                      <w:iCs/>
                    </w:rPr>
                    <w:t>Institutional Review Board</w:t>
                  </w:r>
                  <w:r w:rsidRPr="00563987">
                    <w:rPr>
                      <w:rFonts w:eastAsiaTheme="minorHAnsi"/>
                    </w:rPr>
                    <w:t xml:space="preserve"> (IRB) of the clinical facility in which the study is to be performed must approve the study. The IRB is composed of both professional and lay persons with diverse backgrounds, who have clinical experience and expertise as well as sensitivity to ethical issues and community attitudes. The IRB is responsible for safeguarding the rights and welfare of human subjects.</w:t>
                  </w:r>
                </w:p>
                <w:p w14:paraId="3AADBB6E" w14:textId="77777777" w:rsidR="00563987" w:rsidRPr="00563987" w:rsidRDefault="00563987" w:rsidP="00563987">
                  <w:pPr>
                    <w:rPr>
                      <w:rFonts w:eastAsiaTheme="minorHAnsi"/>
                    </w:rPr>
                  </w:pPr>
                  <w:bookmarkStart w:id="88" w:name="2481698"/>
                  <w:bookmarkEnd w:id="88"/>
                  <w:r w:rsidRPr="00563987">
                    <w:rPr>
                      <w:rFonts w:eastAsiaTheme="minorHAnsi"/>
                    </w:rPr>
                    <w:t xml:space="preserve">The basic guiding principle in performing studies is </w:t>
                  </w:r>
                  <w:r w:rsidRPr="00563987">
                    <w:rPr>
                      <w:rFonts w:eastAsiaTheme="minorHAnsi"/>
                      <w:i/>
                      <w:iCs/>
                    </w:rPr>
                    <w:t>do not do unnecessary human research</w:t>
                  </w:r>
                  <w:r w:rsidRPr="00563987">
                    <w:rPr>
                      <w:rFonts w:eastAsiaTheme="minorHAnsi"/>
                    </w:rPr>
                    <w:t xml:space="preserve">. Generally, the study is performed in normal, healthy male and female volunteers who have given informed consent to be in the study. Critically ill patients are not included in an </w:t>
                  </w:r>
                  <w:r w:rsidRPr="00563987">
                    <w:rPr>
                      <w:rFonts w:eastAsiaTheme="minorHAnsi"/>
                      <w:i/>
                      <w:iCs/>
                    </w:rPr>
                    <w:t>in-vivo</w:t>
                  </w:r>
                  <w:r w:rsidRPr="00563987">
                    <w:rPr>
                      <w:rFonts w:eastAsiaTheme="minorHAnsi"/>
                    </w:rPr>
                    <w:t xml:space="preserve"> bioavailability study unless the attending physician determines that there is a potential benefit to the patient. The number of subjects in the study will depend on the expected intersubject and intrasubject variability. Patient selection is made according to certain established criteria for </w:t>
                  </w:r>
                  <w:r w:rsidRPr="00563987">
                    <w:rPr>
                      <w:rFonts w:eastAsiaTheme="minorHAnsi"/>
                    </w:rPr>
                    <w:lastRenderedPageBreak/>
                    <w:t>inclusion into, or exclusion from, the study. For example, the study might exclude any volunteers who have known allergies to the drug, are overweight, or have taken any medication within a specified period (often 1 week) prior to the study. Smokers are often included in these studies. The subjects are generally fasted for 10 to 12 hours (overnight) prior to drug administration and may continue to fast for a 2- to 4-hour period after dosing.</w:t>
                  </w:r>
                </w:p>
                <w:p w14:paraId="35FC3464" w14:textId="77777777" w:rsidR="00563987" w:rsidRPr="00563987" w:rsidRDefault="00563987" w:rsidP="00563987">
                  <w:pPr>
                    <w:rPr>
                      <w:rFonts w:eastAsiaTheme="minorHAnsi"/>
                    </w:rPr>
                  </w:pPr>
                  <w:bookmarkStart w:id="89" w:name="2481699"/>
                  <w:bookmarkEnd w:id="89"/>
                  <w:r w:rsidRPr="00563987">
                    <w:rPr>
                      <w:rFonts w:eastAsiaTheme="minorHAnsi"/>
                    </w:rPr>
                    <w:t>Analytical Methods</w:t>
                  </w:r>
                </w:p>
                <w:p w14:paraId="2772BA78" w14:textId="77777777" w:rsidR="00563987" w:rsidRPr="00563987" w:rsidRDefault="00563987" w:rsidP="00563987">
                  <w:pPr>
                    <w:rPr>
                      <w:rFonts w:eastAsiaTheme="minorHAnsi"/>
                    </w:rPr>
                  </w:pPr>
                  <w:bookmarkStart w:id="90" w:name="2481700"/>
                  <w:bookmarkEnd w:id="90"/>
                  <w:r w:rsidRPr="00563987">
                    <w:rPr>
                      <w:rFonts w:eastAsiaTheme="minorHAnsi"/>
                    </w:rPr>
                    <w:t xml:space="preserve">The analytical method used in an </w:t>
                  </w:r>
                  <w:r w:rsidRPr="00563987">
                    <w:rPr>
                      <w:rFonts w:eastAsiaTheme="minorHAnsi"/>
                      <w:i/>
                      <w:iCs/>
                    </w:rPr>
                    <w:t>in-vivo</w:t>
                  </w:r>
                  <w:r w:rsidRPr="00563987">
                    <w:rPr>
                      <w:rFonts w:eastAsiaTheme="minorHAnsi"/>
                    </w:rPr>
                    <w:t xml:space="preserve"> bioavailability or bioequivalence study to measure the concentration of the active drug ingredient or therapeutic moiety, or its active metabolite(s), in body fluids or excretory products, or the method used to measure an acute pharmacological effect, must be demonstrated to be accurate and of sufficient sensitivity to measure, with appropriate precision, the actual concentration of the active drug ingredient or therapeutic moiety, or its active metabolite(s), achieved in the body. For bioavailability studies, both the parent drug and its major active metabolites are generally measured. For bioequivalence studies, the parent drug is measured. The active metabolite might be measured for some very high hepatic clearance (first-pass metabolism) drugs when the parent drug concentrations are too low to be reliable. </w:t>
                  </w:r>
                </w:p>
                <w:p w14:paraId="776854C6" w14:textId="77777777" w:rsidR="00563987" w:rsidRPr="00563987" w:rsidRDefault="00563987" w:rsidP="00563987">
                  <w:pPr>
                    <w:rPr>
                      <w:rFonts w:eastAsiaTheme="minorHAnsi"/>
                    </w:rPr>
                  </w:pPr>
                  <w:bookmarkStart w:id="91" w:name="2481701"/>
                  <w:bookmarkEnd w:id="91"/>
                  <w:r w:rsidRPr="00563987">
                    <w:rPr>
                      <w:rFonts w:eastAsiaTheme="minorHAnsi"/>
                    </w:rPr>
                    <w:t>Reference Standard</w:t>
                  </w:r>
                </w:p>
                <w:p w14:paraId="78891F32" w14:textId="77777777" w:rsidR="00563987" w:rsidRPr="00563987" w:rsidRDefault="00563987" w:rsidP="00563987">
                  <w:pPr>
                    <w:rPr>
                      <w:rFonts w:eastAsiaTheme="minorHAnsi"/>
                    </w:rPr>
                  </w:pPr>
                  <w:bookmarkStart w:id="92" w:name="2481702"/>
                  <w:bookmarkEnd w:id="92"/>
                  <w:r w:rsidRPr="00563987">
                    <w:rPr>
                      <w:rFonts w:eastAsiaTheme="minorHAnsi"/>
                    </w:rPr>
                    <w:t xml:space="preserve">For bioequivalence studies, one formulation of the drug is chosen as a reference standard against which all other formulations of the drug are compared. The reference drug product should be administered by the same route as the comparison formulations unless an alternative route or additional route is needed to answer specific pharmacokinetic questions. For example, if an active drug is poorly bioavailable after oral administration, the drug may be compared to an oral solution or an intravenous injection. For bioequivalence studies on a proposed generic drug product the reference standard is the </w:t>
                  </w:r>
                  <w:r w:rsidRPr="00563987">
                    <w:rPr>
                      <w:rFonts w:eastAsiaTheme="minorHAnsi"/>
                      <w:i/>
                      <w:iCs/>
                    </w:rPr>
                    <w:t>reference listed drug</w:t>
                  </w:r>
                  <w:r w:rsidRPr="00563987">
                    <w:rPr>
                      <w:rFonts w:eastAsiaTheme="minorHAnsi"/>
                    </w:rPr>
                    <w:t xml:space="preserve"> (RLD), which is listed in </w:t>
                  </w:r>
                  <w:r w:rsidRPr="00563987">
                    <w:rPr>
                      <w:rFonts w:eastAsiaTheme="minorHAnsi"/>
                      <w:i/>
                      <w:iCs/>
                    </w:rPr>
                    <w:t>Approved Drug Products with Therapeutic Equivalence Evaluations</w:t>
                  </w:r>
                  <w:r w:rsidRPr="00563987">
                    <w:rPr>
                      <w:rFonts w:eastAsiaTheme="minorHAnsi"/>
                    </w:rPr>
                    <w:t xml:space="preserve">—the </w:t>
                  </w:r>
                  <w:r w:rsidRPr="00563987">
                    <w:rPr>
                      <w:rFonts w:eastAsiaTheme="minorHAnsi"/>
                      <w:i/>
                      <w:iCs/>
                    </w:rPr>
                    <w:t>Orange Book</w:t>
                  </w:r>
                  <w:r w:rsidRPr="00563987">
                    <w:rPr>
                      <w:rFonts w:eastAsiaTheme="minorHAnsi"/>
                    </w:rPr>
                    <w:t xml:space="preserve"> (www.fda.gov/cder/orange/default.htm), and the proposed generic drug product is often referred to as the "Test" drug product. The RLD is generally a formulation currently marketed with a fully approved NDA for which there are valid scientific safety and efficacy data. The RLD is usually the innovator's or original manufacturer's brand-name product and is administered according to the dosage recommendations in the labeling.</w:t>
                  </w:r>
                </w:p>
                <w:p w14:paraId="3F7EB754" w14:textId="77777777" w:rsidR="00563987" w:rsidRPr="00563987" w:rsidRDefault="00563987" w:rsidP="00563987">
                  <w:pPr>
                    <w:rPr>
                      <w:rFonts w:eastAsiaTheme="minorHAnsi"/>
                    </w:rPr>
                  </w:pPr>
                  <w:bookmarkStart w:id="93" w:name="2481703"/>
                  <w:bookmarkEnd w:id="93"/>
                  <w:r w:rsidRPr="00563987">
                    <w:rPr>
                      <w:rFonts w:eastAsiaTheme="minorHAnsi"/>
                    </w:rPr>
                    <w:t xml:space="preserve">Before beginning an </w:t>
                  </w:r>
                  <w:r w:rsidRPr="00563987">
                    <w:rPr>
                      <w:rFonts w:eastAsiaTheme="minorHAnsi"/>
                      <w:i/>
                      <w:iCs/>
                    </w:rPr>
                    <w:t>in-vivo</w:t>
                  </w:r>
                  <w:r w:rsidRPr="00563987">
                    <w:rPr>
                      <w:rFonts w:eastAsiaTheme="minorHAnsi"/>
                    </w:rPr>
                    <w:t xml:space="preserve"> bioequivalence study, the total content of the active drug substance in the test product (generally the generic product) must be within 5% of that of the reference product. Moreover, </w:t>
                  </w:r>
                  <w:r w:rsidRPr="00563987">
                    <w:rPr>
                      <w:rFonts w:eastAsiaTheme="minorHAnsi"/>
                      <w:i/>
                      <w:iCs/>
                    </w:rPr>
                    <w:t>in-vitro</w:t>
                  </w:r>
                  <w:r w:rsidRPr="00563987">
                    <w:rPr>
                      <w:rFonts w:eastAsiaTheme="minorHAnsi"/>
                    </w:rPr>
                    <w:t xml:space="preserve"> comparative dissolution or drug-release studies under various specified conditions are usually performed for both test and reference products before performing the </w:t>
                  </w:r>
                  <w:r w:rsidRPr="00563987">
                    <w:rPr>
                      <w:rFonts w:eastAsiaTheme="minorHAnsi"/>
                      <w:i/>
                      <w:iCs/>
                    </w:rPr>
                    <w:t>in-vivo</w:t>
                  </w:r>
                  <w:r w:rsidRPr="00563987">
                    <w:rPr>
                      <w:rFonts w:eastAsiaTheme="minorHAnsi"/>
                    </w:rPr>
                    <w:t xml:space="preserve"> bioequivalence study.</w:t>
                  </w:r>
                </w:p>
                <w:p w14:paraId="7B4BD639" w14:textId="77777777" w:rsidR="00563987" w:rsidRPr="00563987" w:rsidRDefault="00563987" w:rsidP="00563987">
                  <w:pPr>
                    <w:rPr>
                      <w:rFonts w:eastAsiaTheme="minorHAnsi"/>
                    </w:rPr>
                  </w:pPr>
                  <w:bookmarkStart w:id="94" w:name="2481704"/>
                  <w:bookmarkEnd w:id="94"/>
                  <w:r w:rsidRPr="00563987">
                    <w:rPr>
                      <w:rFonts w:eastAsiaTheme="minorHAnsi"/>
                    </w:rPr>
                    <w:t xml:space="preserve">Extended-Release Formulations </w:t>
                  </w:r>
                </w:p>
                <w:p w14:paraId="27663834" w14:textId="77777777" w:rsidR="00563987" w:rsidRPr="00563987" w:rsidRDefault="00563987" w:rsidP="00563987">
                  <w:pPr>
                    <w:rPr>
                      <w:rFonts w:eastAsiaTheme="minorHAnsi"/>
                    </w:rPr>
                  </w:pPr>
                  <w:bookmarkStart w:id="95" w:name="2481705"/>
                  <w:bookmarkEnd w:id="95"/>
                  <w:r w:rsidRPr="00563987">
                    <w:rPr>
                      <w:rFonts w:eastAsiaTheme="minorHAnsi"/>
                    </w:rPr>
                    <w:t xml:space="preserve">The purpose of an </w:t>
                  </w:r>
                  <w:r w:rsidRPr="00563987">
                    <w:rPr>
                      <w:rFonts w:eastAsiaTheme="minorHAnsi"/>
                      <w:i/>
                      <w:iCs/>
                    </w:rPr>
                    <w:t>in-vivo</w:t>
                  </w:r>
                  <w:r w:rsidRPr="00563987">
                    <w:rPr>
                      <w:rFonts w:eastAsiaTheme="minorHAnsi"/>
                    </w:rPr>
                    <w:t xml:space="preserve"> bioavailability study involving an extended-release drug product is to determine if (1) the drug product meets the controlled-release claims made for it, (2) the bioavailability profile established for the drug product rules out the occurrence of any </w:t>
                  </w:r>
                  <w:r w:rsidRPr="00563987">
                    <w:rPr>
                      <w:rFonts w:eastAsiaTheme="minorHAnsi"/>
                      <w:i/>
                      <w:iCs/>
                    </w:rPr>
                    <w:t>dose dumping</w:t>
                  </w:r>
                  <w:r w:rsidRPr="00563987">
                    <w:rPr>
                      <w:rFonts w:eastAsiaTheme="minorHAnsi"/>
                    </w:rPr>
                    <w:t>, (3) the drug product's steady-state performance is equivalent to that of a currently marketed non-extended-release formulation, and (4) the drug product's formulation provides consistent pharmacokinetic performance between individual dosage units. A comparison bioavailability study is used for the development of a new extended release drug product in which the reference drug product may be either a solution or suspension of the active ingredient or a currently marketed non-controlled release drug product such as a tablet or capsule. For example, the bioavailability of a non-controlled-release (immediate-release) drug product given at a dose of 25 mg every 8 hours is compared to an extended-release product containing 75 mg of the same drug given once daily. For a bioequivalence study of a new generic extended release drug product, the reference drug product is the currently marketed extended release drug product listed as the RLD in the Orange Book and is administered according to the dosage recommendations in the approved labeling.</w:t>
                  </w:r>
                </w:p>
                <w:p w14:paraId="1786E129" w14:textId="77777777" w:rsidR="00563987" w:rsidRPr="00563987" w:rsidRDefault="00563987" w:rsidP="00563987">
                  <w:pPr>
                    <w:rPr>
                      <w:rFonts w:eastAsiaTheme="minorHAnsi"/>
                    </w:rPr>
                  </w:pPr>
                  <w:bookmarkStart w:id="96" w:name="2481706"/>
                  <w:bookmarkEnd w:id="96"/>
                  <w:r w:rsidRPr="00563987">
                    <w:rPr>
                      <w:rFonts w:eastAsiaTheme="minorHAnsi"/>
                    </w:rPr>
                    <w:t>Combination Drug Products</w:t>
                  </w:r>
                </w:p>
                <w:p w14:paraId="2C789333" w14:textId="77777777" w:rsidR="00563987" w:rsidRPr="00563987" w:rsidRDefault="00563987" w:rsidP="00563987">
                  <w:pPr>
                    <w:rPr>
                      <w:rFonts w:eastAsiaTheme="minorHAnsi"/>
                    </w:rPr>
                  </w:pPr>
                  <w:bookmarkStart w:id="97" w:name="2481707"/>
                  <w:bookmarkEnd w:id="97"/>
                  <w:r w:rsidRPr="00563987">
                    <w:rPr>
                      <w:rFonts w:eastAsiaTheme="minorHAnsi"/>
                    </w:rPr>
                    <w:t xml:space="preserve">Generally, the purpose of an </w:t>
                  </w:r>
                  <w:r w:rsidRPr="00563987">
                    <w:rPr>
                      <w:rFonts w:eastAsiaTheme="minorHAnsi"/>
                      <w:i/>
                      <w:iCs/>
                    </w:rPr>
                    <w:t>in-vivo</w:t>
                  </w:r>
                  <w:r w:rsidRPr="00563987">
                    <w:rPr>
                      <w:rFonts w:eastAsiaTheme="minorHAnsi"/>
                    </w:rPr>
                    <w:t xml:space="preserve"> bioavailability study involving a combination drug product containing more than one active drug substance is to determine if the rate and extent of absorption of each active drug ingredient or therapeutic moiety in the combination drug product is equivalent to the rate and extent of absorption of each active drug ingredient or therapeutic moiety administered concurrently in separate single-ingredient preparations. The reference material in such a bioavailability study should be two or more currently marketed, single-ingredient drug products, each of which contains one of the active drug ingredients in the combination drug product. The FDA may, for valid scientific reasons, specify that the reference material be a combination drug product that is the subject of an approved NDA.</w:t>
                  </w:r>
                </w:p>
              </w:tc>
            </w:tr>
          </w:tbl>
          <w:p w14:paraId="15AFF8A3" w14:textId="77777777" w:rsidR="00563987" w:rsidRPr="00563987" w:rsidRDefault="00563987" w:rsidP="00563987">
            <w:pPr>
              <w:rPr>
                <w:rFonts w:eastAsiaTheme="minorHAnsi"/>
                <w:vanish/>
              </w:rPr>
            </w:pPr>
            <w:bookmarkStart w:id="98" w:name="2481708"/>
            <w:bookmarkEnd w:id="98"/>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316F89C8" w14:textId="77777777">
              <w:trPr>
                <w:tblCellSpacing w:w="0" w:type="dxa"/>
              </w:trPr>
              <w:tc>
                <w:tcPr>
                  <w:tcW w:w="0" w:type="auto"/>
                  <w:shd w:val="clear" w:color="auto" w:fill="FFFFFF"/>
                  <w:hideMark/>
                </w:tcPr>
                <w:p w14:paraId="1AE24894" w14:textId="77777777" w:rsidR="00563987" w:rsidRPr="00563987" w:rsidRDefault="00563987" w:rsidP="00563987">
                  <w:pPr>
                    <w:rPr>
                      <w:rFonts w:eastAsiaTheme="minorHAnsi"/>
                    </w:rPr>
                  </w:pPr>
                  <w:r w:rsidRPr="00563987">
                    <w:rPr>
                      <w:rFonts w:eastAsiaTheme="minorHAnsi"/>
                    </w:rPr>
                    <w:t>Study Designs</w:t>
                  </w:r>
                </w:p>
                <w:p w14:paraId="7607148D" w14:textId="77777777" w:rsidR="00563987" w:rsidRPr="00563987" w:rsidRDefault="00563987" w:rsidP="00563987">
                  <w:pPr>
                    <w:rPr>
                      <w:rFonts w:eastAsiaTheme="minorHAnsi"/>
                    </w:rPr>
                  </w:pPr>
                  <w:bookmarkStart w:id="99" w:name="2481709"/>
                  <w:bookmarkEnd w:id="99"/>
                  <w:r w:rsidRPr="00563987">
                    <w:rPr>
                      <w:rFonts w:eastAsiaTheme="minorHAnsi"/>
                    </w:rPr>
                    <w:t xml:space="preserve">For many drug products, the FDA, Division of Bioequivalence, Office of Generic Drugs, provides guidance for the performance of </w:t>
                  </w:r>
                  <w:r w:rsidRPr="00563987">
                    <w:rPr>
                      <w:rFonts w:eastAsiaTheme="minorHAnsi"/>
                      <w:i/>
                      <w:iCs/>
                    </w:rPr>
                    <w:t>in-vitro</w:t>
                  </w:r>
                  <w:r w:rsidRPr="00563987">
                    <w:rPr>
                      <w:rFonts w:eastAsiaTheme="minorHAnsi"/>
                    </w:rPr>
                    <w:t xml:space="preserve"> dissolution and </w:t>
                  </w:r>
                  <w:r w:rsidRPr="00563987">
                    <w:rPr>
                      <w:rFonts w:eastAsiaTheme="minorHAnsi"/>
                      <w:i/>
                      <w:iCs/>
                    </w:rPr>
                    <w:t>in-vivo</w:t>
                  </w:r>
                  <w:r w:rsidRPr="00563987">
                    <w:rPr>
                      <w:rFonts w:eastAsiaTheme="minorHAnsi"/>
                    </w:rPr>
                    <w:t xml:space="preserve"> bioequivalence studies. Similar guidelines appear in the United States Pharmacopeia NF. Currently, three different studies may be required for solid oral dosage forms, including (1) a fasting study, (2) a food intervention study, and/or (3) a multiple-dose (steady-state) study. Other study designs have been proposed by the FDA. For example, the FDA published two draft guidelines in October and December 1997 to consider the performance of individual bioequivalence studies using a replicate design and a two-way crossover food intervention study. Proper study design and statistical evolution are important considerations for the determination of </w:t>
                  </w:r>
                  <w:r w:rsidRPr="00563987">
                    <w:rPr>
                      <w:rFonts w:eastAsiaTheme="minorHAnsi"/>
                    </w:rPr>
                    <w:lastRenderedPageBreak/>
                    <w:t>bioequivalence. Some of the designs listed above are summarized here.</w:t>
                  </w:r>
                </w:p>
                <w:p w14:paraId="08AC6DAC" w14:textId="77777777" w:rsidR="00563987" w:rsidRPr="00563987" w:rsidRDefault="00563987" w:rsidP="00563987">
                  <w:pPr>
                    <w:rPr>
                      <w:rFonts w:eastAsiaTheme="minorHAnsi"/>
                    </w:rPr>
                  </w:pPr>
                  <w:bookmarkStart w:id="100" w:name="2481710"/>
                  <w:bookmarkEnd w:id="100"/>
                  <w:r w:rsidRPr="00563987">
                    <w:rPr>
                      <w:rFonts w:eastAsiaTheme="minorHAnsi"/>
                    </w:rPr>
                    <w:t>Fasting Study</w:t>
                  </w:r>
                </w:p>
                <w:p w14:paraId="59F80A1E" w14:textId="77777777" w:rsidR="00563987" w:rsidRPr="00563987" w:rsidRDefault="00563987" w:rsidP="00563987">
                  <w:pPr>
                    <w:rPr>
                      <w:rFonts w:eastAsiaTheme="minorHAnsi"/>
                    </w:rPr>
                  </w:pPr>
                  <w:bookmarkStart w:id="101" w:name="2481711"/>
                  <w:bookmarkEnd w:id="101"/>
                  <w:r w:rsidRPr="00563987">
                    <w:rPr>
                      <w:rFonts w:eastAsiaTheme="minorHAnsi"/>
                    </w:rPr>
                    <w:t xml:space="preserve">Bioequivalence studies are usually evaluated by a single-dose, two-period, two-treatment, two-sequence, open-label, randomized crossover design comparing equal doses of the test and reference products in fasted, adult, healthy subjects. This study is required for all immediate-release and modified-release oral dosage forms. Both male and female subjects may be used in the study. Blood sampling is performed just before (zero time) the dose and at appropriate intervals after the dose to obtain an adequate description of the plasma drug concentration–time profile. The subjects should be in the fasting state (overnight fast of at least 10 hours) before drug administration and should continue to fast for up to 4 hours after dosing. No other medication is normally given to the subject for at least 1 week prior to the study. In some cases, a parallel design may be more appropriate for certain drug products, containing a drug with a very long elimination half-life. A replicate design may be used for a drug product containing a drug that has high intrasubject variability. </w:t>
                  </w:r>
                </w:p>
                <w:p w14:paraId="1BA9084D" w14:textId="77777777" w:rsidR="00563987" w:rsidRPr="00563987" w:rsidRDefault="00563987" w:rsidP="00563987">
                  <w:pPr>
                    <w:rPr>
                      <w:rFonts w:eastAsiaTheme="minorHAnsi"/>
                    </w:rPr>
                  </w:pPr>
                  <w:bookmarkStart w:id="102" w:name="2481712"/>
                  <w:bookmarkEnd w:id="102"/>
                  <w:r w:rsidRPr="00563987">
                    <w:rPr>
                      <w:rFonts w:eastAsiaTheme="minorHAnsi"/>
                    </w:rPr>
                    <w:t>Food Intervention Study</w:t>
                  </w:r>
                </w:p>
                <w:p w14:paraId="3EB03EED" w14:textId="77777777" w:rsidR="00563987" w:rsidRPr="00563987" w:rsidRDefault="00563987" w:rsidP="00563987">
                  <w:pPr>
                    <w:rPr>
                      <w:rFonts w:eastAsiaTheme="minorHAnsi"/>
                    </w:rPr>
                  </w:pPr>
                  <w:bookmarkStart w:id="103" w:name="2481713"/>
                  <w:bookmarkEnd w:id="103"/>
                  <w:r w:rsidRPr="00563987">
                    <w:rPr>
                      <w:rFonts w:eastAsiaTheme="minorHAnsi"/>
                    </w:rPr>
                    <w:t xml:space="preserve">Co-administration of food with an oral drug product may affect the bioavailability of the drug. Food intervention or food effect studies are generally conducted using meal conditions that are expected to provide the greatest effects on GI physiology so that systemic drug availability is maximally affected. The test meal is a high-fat (approximately 50% of total caloric content of the meal) and high-calorie (approximately 800–1000 calories) meal. A typical test meal is two eggs fried in butter, two strips of bacon, two slices of toast with butter, 4 ounces of brown potatoes, and 8 ounces of milk. This test meal derives approximately 150, 250, and 500–600 calories from protein, carbohydrate, and fat, respectively (www.fda.gov/cder/guidance/4613dft.pdf). </w:t>
                  </w:r>
                </w:p>
                <w:p w14:paraId="0A6AD27B" w14:textId="77777777" w:rsidR="00563987" w:rsidRPr="00563987" w:rsidRDefault="00563987" w:rsidP="00563987">
                  <w:pPr>
                    <w:rPr>
                      <w:rFonts w:eastAsiaTheme="minorHAnsi"/>
                    </w:rPr>
                  </w:pPr>
                  <w:bookmarkStart w:id="104" w:name="2481714"/>
                  <w:bookmarkEnd w:id="104"/>
                  <w:r w:rsidRPr="00563987">
                    <w:rPr>
                      <w:rFonts w:eastAsiaTheme="minorHAnsi"/>
                    </w:rPr>
                    <w:t xml:space="preserve">For bioequivalence studies, drug bioavailability from both the test and reference products should be affected similarly by food. The study design uses a single-dose, randomized, two-treatment, two-period, crossover study comparing equal doses of the test and reference products. Following an overnight fast of at least 10 hours, subjects are given the recommended meal 30 minutes before dosing. The meal is consumed over 30 minutes, with administration of the drug product immediately after the meal. The drug product is given with 240 mL (8 fluid ounces) of water. No food is allowed for at least 4 hours </w:t>
                  </w:r>
                  <w:proofErr w:type="spellStart"/>
                  <w:r w:rsidRPr="00563987">
                    <w:rPr>
                      <w:rFonts w:eastAsiaTheme="minorHAnsi"/>
                    </w:rPr>
                    <w:t>postdose</w:t>
                  </w:r>
                  <w:proofErr w:type="spellEnd"/>
                  <w:r w:rsidRPr="00563987">
                    <w:rPr>
                      <w:rFonts w:eastAsiaTheme="minorHAnsi"/>
                    </w:rPr>
                    <w:t>. This study is required for all modified-release dosage forms and may be required for immediate-release dosage forms if the bioavailability of the active drug ingredient is known to be affected by food (</w:t>
                  </w:r>
                  <w:proofErr w:type="spellStart"/>
                  <w:r w:rsidRPr="00563987">
                    <w:rPr>
                      <w:rFonts w:eastAsiaTheme="minorHAnsi"/>
                    </w:rPr>
                    <w:t>eg</w:t>
                  </w:r>
                  <w:proofErr w:type="spellEnd"/>
                  <w:r w:rsidRPr="00563987">
                    <w:rPr>
                      <w:rFonts w:eastAsiaTheme="minorHAnsi"/>
                    </w:rPr>
                    <w:t xml:space="preserve">, ibuprofen, naproxen). For certain extended-release capsules that contain coated beads, the capsule contents are sprinkled over soft foods such as apple sauce, which is taken by the fasted subject and the bioavailability of the drug is then measured. Bioavailability studies might also examine the </w:t>
                  </w:r>
                  <w:proofErr w:type="spellStart"/>
                  <w:r w:rsidRPr="00563987">
                    <w:rPr>
                      <w:rFonts w:eastAsiaTheme="minorHAnsi"/>
                    </w:rPr>
                    <w:t>affects</w:t>
                  </w:r>
                  <w:proofErr w:type="spellEnd"/>
                  <w:r w:rsidRPr="00563987">
                    <w:rPr>
                      <w:rFonts w:eastAsiaTheme="minorHAnsi"/>
                    </w:rPr>
                    <w:t xml:space="preserve"> of other foods and special vehicles such as apple juice. </w:t>
                  </w:r>
                </w:p>
                <w:p w14:paraId="3F197DFE" w14:textId="77777777" w:rsidR="00563987" w:rsidRPr="00563987" w:rsidRDefault="00563987" w:rsidP="00563987">
                  <w:pPr>
                    <w:rPr>
                      <w:rFonts w:eastAsiaTheme="minorHAnsi"/>
                    </w:rPr>
                  </w:pPr>
                  <w:bookmarkStart w:id="105" w:name="2481715"/>
                  <w:bookmarkEnd w:id="105"/>
                  <w:r w:rsidRPr="00563987">
                    <w:rPr>
                      <w:rFonts w:eastAsiaTheme="minorHAnsi"/>
                    </w:rPr>
                    <w:t>Multiple-Dose (Steady-State) Study</w:t>
                  </w:r>
                </w:p>
                <w:p w14:paraId="500353C9" w14:textId="77777777" w:rsidR="00563987" w:rsidRPr="00563987" w:rsidRDefault="00563987" w:rsidP="00563987">
                  <w:pPr>
                    <w:rPr>
                      <w:rFonts w:eastAsiaTheme="minorHAnsi"/>
                    </w:rPr>
                  </w:pPr>
                  <w:bookmarkStart w:id="106" w:name="2481716"/>
                  <w:bookmarkEnd w:id="106"/>
                  <w:r w:rsidRPr="00563987">
                    <w:rPr>
                      <w:rFonts w:eastAsiaTheme="minorHAnsi"/>
                    </w:rPr>
                    <w:t>In a few cases, a multiple-dose, steady-state, randomized, two-treatment, two-way crossover study comparing equal doses of the test and reference products may be performed in adult, healthy subjects. For these studies, three consecutive trough concentrations (</w:t>
                  </w:r>
                  <w:r w:rsidRPr="00563987">
                    <w:rPr>
                      <w:rFonts w:eastAsiaTheme="minorHAnsi"/>
                      <w:i/>
                      <w:iCs/>
                    </w:rPr>
                    <w:t>C</w:t>
                  </w:r>
                  <w:r w:rsidRPr="00563987">
                    <w:rPr>
                      <w:rFonts w:eastAsiaTheme="minorHAnsi"/>
                    </w:rPr>
                    <w:t xml:space="preserve"> </w:t>
                  </w:r>
                  <w:r w:rsidRPr="00563987">
                    <w:rPr>
                      <w:rFonts w:eastAsiaTheme="minorHAnsi"/>
                      <w:vertAlign w:val="subscript"/>
                    </w:rPr>
                    <w:t>min</w:t>
                  </w:r>
                  <w:r w:rsidRPr="00563987">
                    <w:rPr>
                      <w:rFonts w:eastAsiaTheme="minorHAnsi"/>
                    </w:rPr>
                    <w:t>) on three consecutive days should be determined to ascertain that the subjects are at steady state. The last morning dose is given to the subject after an overnight fast, with continual fasting for at least 2 hours following dose administration. Blood sampling is performed similarly to the single-dose study.</w:t>
                  </w:r>
                </w:p>
                <w:p w14:paraId="2AB2300B" w14:textId="77777777" w:rsidR="00563987" w:rsidRPr="00563987" w:rsidRDefault="00563987" w:rsidP="00563987">
                  <w:pPr>
                    <w:rPr>
                      <w:rFonts w:eastAsiaTheme="minorHAnsi"/>
                    </w:rPr>
                  </w:pPr>
                  <w:bookmarkStart w:id="107" w:name="2481717"/>
                  <w:bookmarkEnd w:id="107"/>
                  <w:r w:rsidRPr="00563987">
                    <w:rPr>
                      <w:rFonts w:eastAsiaTheme="minorHAnsi"/>
                    </w:rPr>
                    <w:t>Crossover Designs</w:t>
                  </w:r>
                </w:p>
                <w:p w14:paraId="10E9F0AA" w14:textId="77777777" w:rsidR="00563987" w:rsidRPr="00563987" w:rsidRDefault="00563987" w:rsidP="00563987">
                  <w:pPr>
                    <w:rPr>
                      <w:rFonts w:eastAsiaTheme="minorHAnsi"/>
                    </w:rPr>
                  </w:pPr>
                  <w:bookmarkStart w:id="108" w:name="2481718"/>
                  <w:bookmarkEnd w:id="108"/>
                  <w:r w:rsidRPr="00563987">
                    <w:rPr>
                      <w:rFonts w:eastAsiaTheme="minorHAnsi"/>
                    </w:rPr>
                    <w:t xml:space="preserve">Subjects who meet the inclusion and exclusion study criteria and have given informed consent are selected at random. A complete crossover design is usually employed, in which each subject receives the test drug product and the reference product. Examples of </w:t>
                  </w:r>
                  <w:r w:rsidRPr="00563987">
                    <w:rPr>
                      <w:rFonts w:eastAsiaTheme="minorHAnsi"/>
                      <w:i/>
                      <w:iCs/>
                    </w:rPr>
                    <w:t>Latin-square crossover designs</w:t>
                  </w:r>
                  <w:r w:rsidRPr="00563987">
                    <w:rPr>
                      <w:rFonts w:eastAsiaTheme="minorHAnsi"/>
                    </w:rPr>
                    <w:t xml:space="preserve"> for a bioequivalence study in human volunteers, comparing three different drug formulations (A, B, C) or four different drug formulations (A, B, C, D), are described in and . The Latin-square design plans the clinical trial so that each subject receives each drug product only once, with adequate time between medications for the elimination of the drug from the body (). In this design, each subject is his own control, and subject-to-subject variation is reduced. Moreover, variation due to sequence, period, and treatment (formulation) are reduced, so that all patients do not receive the same drug product on the same day and in the same order. Possible carryover effects from any particular drug product are minimized by changing the sequence or order in which the drug products are given to the subject. Thus, drug product B may be followed by drug product A, D, or C (). After each subject receives a drug product, blood samples are collected at appropriate time intervals so that a valid blood drug level–time curve is obtained. The time intervals should be spaced so that the peak blood concentration, the total area under the curve, and the absorption and elimination phases of the curve may be well described.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47E9061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47C78D03" w14:textId="77777777">
                          <w:trPr>
                            <w:tblCellSpacing w:w="0" w:type="dxa"/>
                          </w:trPr>
                          <w:tc>
                            <w:tcPr>
                              <w:tcW w:w="0" w:type="auto"/>
                              <w:vAlign w:val="center"/>
                              <w:hideMark/>
                            </w:tcPr>
                            <w:p w14:paraId="79C254FD" w14:textId="77777777" w:rsidR="00563987" w:rsidRPr="00563987" w:rsidRDefault="00563987" w:rsidP="00563987">
                              <w:pPr>
                                <w:rPr>
                                  <w:rFonts w:eastAsiaTheme="minorHAnsi"/>
                                </w:rPr>
                              </w:pPr>
                              <w:bookmarkStart w:id="109" w:name="2481828"/>
                              <w:bookmarkEnd w:id="109"/>
                              <w:r w:rsidRPr="00563987">
                                <w:rPr>
                                  <w:rFonts w:eastAsiaTheme="minorHAnsi"/>
                                </w:rPr>
                                <w:t>Table 15.3 Latin-Square Crossover Design for a Bioequivalence Study of Three Drug Products in Six Human Volunteers</w:t>
                              </w:r>
                            </w:p>
                            <w:p w14:paraId="2F4366B2" w14:textId="77777777" w:rsidR="00563987" w:rsidRPr="00563987" w:rsidRDefault="00563987" w:rsidP="00563987">
                              <w:pPr>
                                <w:rPr>
                                  <w:rFonts w:eastAsiaTheme="minorHAnsi"/>
                                </w:rPr>
                              </w:pPr>
                            </w:p>
                          </w:tc>
                        </w:tr>
                      </w:tbl>
                      <w:p w14:paraId="4D797778" w14:textId="77777777" w:rsidR="00563987" w:rsidRPr="00563987" w:rsidRDefault="00563987" w:rsidP="00563987">
                        <w:pPr>
                          <w:rPr>
                            <w:rFonts w:eastAsiaTheme="minorHAnsi"/>
                          </w:rPr>
                        </w:pPr>
                      </w:p>
                    </w:tc>
                  </w:tr>
                  <w:tr w:rsidR="00563987" w:rsidRPr="00563987" w14:paraId="193DC162"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579"/>
                          <w:gridCol w:w="2906"/>
                          <w:gridCol w:w="2906"/>
                          <w:gridCol w:w="2913"/>
                        </w:tblGrid>
                        <w:tr w:rsidR="00563987" w:rsidRPr="00563987" w14:paraId="4AEB09C9" w14:textId="77777777">
                          <w:trPr>
                            <w:tblHeader/>
                            <w:tblCellSpacing w:w="7" w:type="dxa"/>
                          </w:trPr>
                          <w:tc>
                            <w:tcPr>
                              <w:tcW w:w="0" w:type="auto"/>
                              <w:shd w:val="clear" w:color="auto" w:fill="FFFFFF"/>
                              <w:hideMark/>
                            </w:tcPr>
                            <w:p w14:paraId="519B95D8" w14:textId="77777777" w:rsidR="00563987" w:rsidRPr="00563987" w:rsidRDefault="00563987" w:rsidP="00563987">
                              <w:pPr>
                                <w:rPr>
                                  <w:rFonts w:eastAsiaTheme="minorHAnsi"/>
                                  <w:b/>
                                  <w:bCs/>
                                </w:rPr>
                              </w:pPr>
                              <w:r w:rsidRPr="00563987">
                                <w:rPr>
                                  <w:rFonts w:eastAsiaTheme="minorHAnsi"/>
                                  <w:b/>
                                  <w:bCs/>
                                </w:rPr>
                                <w:t> </w:t>
                              </w:r>
                            </w:p>
                          </w:tc>
                          <w:tc>
                            <w:tcPr>
                              <w:tcW w:w="0" w:type="auto"/>
                              <w:gridSpan w:val="3"/>
                              <w:shd w:val="clear" w:color="auto" w:fill="FFFFFF"/>
                              <w:hideMark/>
                            </w:tcPr>
                            <w:p w14:paraId="58D0521D" w14:textId="77777777" w:rsidR="00563987" w:rsidRPr="00563987" w:rsidRDefault="00563987" w:rsidP="00563987">
                              <w:pPr>
                                <w:rPr>
                                  <w:rFonts w:eastAsiaTheme="minorHAnsi"/>
                                  <w:b/>
                                  <w:bCs/>
                                </w:rPr>
                              </w:pPr>
                              <w:r w:rsidRPr="00563987">
                                <w:rPr>
                                  <w:rFonts w:eastAsiaTheme="minorHAnsi"/>
                                  <w:b/>
                                  <w:bCs/>
                                </w:rPr>
                                <w:t>Drug Product</w:t>
                              </w:r>
                            </w:p>
                          </w:tc>
                        </w:tr>
                        <w:tr w:rsidR="00563987" w:rsidRPr="00563987" w14:paraId="5301C201" w14:textId="77777777">
                          <w:trPr>
                            <w:tblHeader/>
                            <w:tblCellSpacing w:w="7" w:type="dxa"/>
                          </w:trPr>
                          <w:tc>
                            <w:tcPr>
                              <w:tcW w:w="0" w:type="auto"/>
                              <w:shd w:val="clear" w:color="auto" w:fill="FFFFFF"/>
                              <w:hideMark/>
                            </w:tcPr>
                            <w:p w14:paraId="35E34966" w14:textId="77777777" w:rsidR="00563987" w:rsidRPr="00563987" w:rsidRDefault="00563987" w:rsidP="00563987">
                              <w:pPr>
                                <w:rPr>
                                  <w:rFonts w:eastAsiaTheme="minorHAnsi"/>
                                  <w:b/>
                                  <w:bCs/>
                                </w:rPr>
                              </w:pPr>
                              <w:r w:rsidRPr="00563987">
                                <w:rPr>
                                  <w:rFonts w:eastAsiaTheme="minorHAnsi"/>
                                  <w:b/>
                                  <w:bCs/>
                                </w:rPr>
                                <w:t>Subject</w:t>
                              </w:r>
                            </w:p>
                          </w:tc>
                          <w:tc>
                            <w:tcPr>
                              <w:tcW w:w="0" w:type="auto"/>
                              <w:shd w:val="clear" w:color="auto" w:fill="FFFFFF"/>
                              <w:hideMark/>
                            </w:tcPr>
                            <w:p w14:paraId="6B839EAD" w14:textId="77777777" w:rsidR="00563987" w:rsidRPr="00563987" w:rsidRDefault="00563987" w:rsidP="00563987">
                              <w:pPr>
                                <w:rPr>
                                  <w:rFonts w:eastAsiaTheme="minorHAnsi"/>
                                  <w:b/>
                                  <w:bCs/>
                                </w:rPr>
                              </w:pPr>
                              <w:r w:rsidRPr="00563987">
                                <w:rPr>
                                  <w:rFonts w:eastAsiaTheme="minorHAnsi"/>
                                  <w:b/>
                                  <w:bCs/>
                                </w:rPr>
                                <w:t>Study Period 1</w:t>
                              </w:r>
                            </w:p>
                          </w:tc>
                          <w:tc>
                            <w:tcPr>
                              <w:tcW w:w="0" w:type="auto"/>
                              <w:shd w:val="clear" w:color="auto" w:fill="FFFFFF"/>
                              <w:hideMark/>
                            </w:tcPr>
                            <w:p w14:paraId="336B3DC5" w14:textId="77777777" w:rsidR="00563987" w:rsidRPr="00563987" w:rsidRDefault="00563987" w:rsidP="00563987">
                              <w:pPr>
                                <w:rPr>
                                  <w:rFonts w:eastAsiaTheme="minorHAnsi"/>
                                  <w:b/>
                                  <w:bCs/>
                                </w:rPr>
                              </w:pPr>
                              <w:r w:rsidRPr="00563987">
                                <w:rPr>
                                  <w:rFonts w:eastAsiaTheme="minorHAnsi"/>
                                  <w:b/>
                                  <w:bCs/>
                                </w:rPr>
                                <w:t>Study Period 2</w:t>
                              </w:r>
                            </w:p>
                          </w:tc>
                          <w:tc>
                            <w:tcPr>
                              <w:tcW w:w="0" w:type="auto"/>
                              <w:shd w:val="clear" w:color="auto" w:fill="FFFFFF"/>
                              <w:hideMark/>
                            </w:tcPr>
                            <w:p w14:paraId="342D9033" w14:textId="77777777" w:rsidR="00563987" w:rsidRPr="00563987" w:rsidRDefault="00563987" w:rsidP="00563987">
                              <w:pPr>
                                <w:rPr>
                                  <w:rFonts w:eastAsiaTheme="minorHAnsi"/>
                                  <w:b/>
                                  <w:bCs/>
                                </w:rPr>
                              </w:pPr>
                              <w:r w:rsidRPr="00563987">
                                <w:rPr>
                                  <w:rFonts w:eastAsiaTheme="minorHAnsi"/>
                                  <w:b/>
                                  <w:bCs/>
                                </w:rPr>
                                <w:t>Study Period 3</w:t>
                              </w:r>
                            </w:p>
                          </w:tc>
                        </w:tr>
                        <w:tr w:rsidR="00563987" w:rsidRPr="00563987" w14:paraId="018FEA78" w14:textId="77777777">
                          <w:trPr>
                            <w:tblCellSpacing w:w="7" w:type="dxa"/>
                          </w:trPr>
                          <w:tc>
                            <w:tcPr>
                              <w:tcW w:w="0" w:type="auto"/>
                              <w:shd w:val="clear" w:color="auto" w:fill="FFFFFF"/>
                              <w:hideMark/>
                            </w:tcPr>
                            <w:p w14:paraId="057C732A" w14:textId="77777777" w:rsidR="00563987" w:rsidRPr="00563987" w:rsidRDefault="00563987" w:rsidP="00563987">
                              <w:pPr>
                                <w:rPr>
                                  <w:rFonts w:eastAsiaTheme="minorHAnsi"/>
                                </w:rPr>
                              </w:pPr>
                              <w:r w:rsidRPr="00563987">
                                <w:rPr>
                                  <w:rFonts w:eastAsiaTheme="minorHAnsi"/>
                                </w:rPr>
                                <w:lastRenderedPageBreak/>
                                <w:t>1</w:t>
                              </w:r>
                            </w:p>
                          </w:tc>
                          <w:tc>
                            <w:tcPr>
                              <w:tcW w:w="0" w:type="auto"/>
                              <w:shd w:val="clear" w:color="auto" w:fill="FFFFFF"/>
                              <w:hideMark/>
                            </w:tcPr>
                            <w:p w14:paraId="125ABAB9"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3DBA01FB"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23EACB8F" w14:textId="77777777" w:rsidR="00563987" w:rsidRPr="00563987" w:rsidRDefault="00563987" w:rsidP="00563987">
                              <w:pPr>
                                <w:rPr>
                                  <w:rFonts w:eastAsiaTheme="minorHAnsi"/>
                                </w:rPr>
                              </w:pPr>
                              <w:r w:rsidRPr="00563987">
                                <w:rPr>
                                  <w:rFonts w:eastAsiaTheme="minorHAnsi"/>
                                </w:rPr>
                                <w:t>C</w:t>
                              </w:r>
                            </w:p>
                          </w:tc>
                        </w:tr>
                        <w:tr w:rsidR="00563987" w:rsidRPr="00563987" w14:paraId="34344998" w14:textId="77777777">
                          <w:trPr>
                            <w:tblCellSpacing w:w="7" w:type="dxa"/>
                          </w:trPr>
                          <w:tc>
                            <w:tcPr>
                              <w:tcW w:w="0" w:type="auto"/>
                              <w:shd w:val="clear" w:color="auto" w:fill="FFFFFF"/>
                              <w:hideMark/>
                            </w:tcPr>
                            <w:p w14:paraId="0922B5F2" w14:textId="77777777" w:rsidR="00563987" w:rsidRPr="00563987" w:rsidRDefault="00563987" w:rsidP="00563987">
                              <w:pPr>
                                <w:rPr>
                                  <w:rFonts w:eastAsiaTheme="minorHAnsi"/>
                                </w:rPr>
                              </w:pPr>
                              <w:r w:rsidRPr="00563987">
                                <w:rPr>
                                  <w:rFonts w:eastAsiaTheme="minorHAnsi"/>
                                </w:rPr>
                                <w:t>2</w:t>
                              </w:r>
                            </w:p>
                          </w:tc>
                          <w:tc>
                            <w:tcPr>
                              <w:tcW w:w="0" w:type="auto"/>
                              <w:shd w:val="clear" w:color="auto" w:fill="FFFFFF"/>
                              <w:hideMark/>
                            </w:tcPr>
                            <w:p w14:paraId="13AAA8CF"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151ACC67"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40205A48" w14:textId="77777777" w:rsidR="00563987" w:rsidRPr="00563987" w:rsidRDefault="00563987" w:rsidP="00563987">
                              <w:pPr>
                                <w:rPr>
                                  <w:rFonts w:eastAsiaTheme="minorHAnsi"/>
                                </w:rPr>
                              </w:pPr>
                              <w:r w:rsidRPr="00563987">
                                <w:rPr>
                                  <w:rFonts w:eastAsiaTheme="minorHAnsi"/>
                                </w:rPr>
                                <w:t>A</w:t>
                              </w:r>
                            </w:p>
                          </w:tc>
                        </w:tr>
                        <w:tr w:rsidR="00563987" w:rsidRPr="00563987" w14:paraId="01DC2975" w14:textId="77777777">
                          <w:trPr>
                            <w:tblCellSpacing w:w="7" w:type="dxa"/>
                          </w:trPr>
                          <w:tc>
                            <w:tcPr>
                              <w:tcW w:w="0" w:type="auto"/>
                              <w:shd w:val="clear" w:color="auto" w:fill="FFFFFF"/>
                              <w:hideMark/>
                            </w:tcPr>
                            <w:p w14:paraId="54F82EAC" w14:textId="77777777" w:rsidR="00563987" w:rsidRPr="00563987" w:rsidRDefault="00563987" w:rsidP="00563987">
                              <w:pPr>
                                <w:rPr>
                                  <w:rFonts w:eastAsiaTheme="minorHAnsi"/>
                                </w:rPr>
                              </w:pPr>
                              <w:r w:rsidRPr="00563987">
                                <w:rPr>
                                  <w:rFonts w:eastAsiaTheme="minorHAnsi"/>
                                </w:rPr>
                                <w:t>3</w:t>
                              </w:r>
                            </w:p>
                          </w:tc>
                          <w:tc>
                            <w:tcPr>
                              <w:tcW w:w="0" w:type="auto"/>
                              <w:shd w:val="clear" w:color="auto" w:fill="FFFFFF"/>
                              <w:hideMark/>
                            </w:tcPr>
                            <w:p w14:paraId="5023703F"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7A961313"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6A66B936" w14:textId="77777777" w:rsidR="00563987" w:rsidRPr="00563987" w:rsidRDefault="00563987" w:rsidP="00563987">
                              <w:pPr>
                                <w:rPr>
                                  <w:rFonts w:eastAsiaTheme="minorHAnsi"/>
                                </w:rPr>
                              </w:pPr>
                              <w:r w:rsidRPr="00563987">
                                <w:rPr>
                                  <w:rFonts w:eastAsiaTheme="minorHAnsi"/>
                                </w:rPr>
                                <w:t>B</w:t>
                              </w:r>
                            </w:p>
                          </w:tc>
                        </w:tr>
                        <w:tr w:rsidR="00563987" w:rsidRPr="00563987" w14:paraId="295AEC04" w14:textId="77777777">
                          <w:trPr>
                            <w:tblCellSpacing w:w="7" w:type="dxa"/>
                          </w:trPr>
                          <w:tc>
                            <w:tcPr>
                              <w:tcW w:w="0" w:type="auto"/>
                              <w:shd w:val="clear" w:color="auto" w:fill="FFFFFF"/>
                              <w:hideMark/>
                            </w:tcPr>
                            <w:p w14:paraId="762F2300"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095EAB5F"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0FE10301"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463CE646" w14:textId="77777777" w:rsidR="00563987" w:rsidRPr="00563987" w:rsidRDefault="00563987" w:rsidP="00563987">
                              <w:pPr>
                                <w:rPr>
                                  <w:rFonts w:eastAsiaTheme="minorHAnsi"/>
                                </w:rPr>
                              </w:pPr>
                              <w:r w:rsidRPr="00563987">
                                <w:rPr>
                                  <w:rFonts w:eastAsiaTheme="minorHAnsi"/>
                                </w:rPr>
                                <w:t>B</w:t>
                              </w:r>
                            </w:p>
                          </w:tc>
                        </w:tr>
                        <w:tr w:rsidR="00563987" w:rsidRPr="00563987" w14:paraId="34BA6777" w14:textId="77777777">
                          <w:trPr>
                            <w:tblCellSpacing w:w="7" w:type="dxa"/>
                          </w:trPr>
                          <w:tc>
                            <w:tcPr>
                              <w:tcW w:w="0" w:type="auto"/>
                              <w:shd w:val="clear" w:color="auto" w:fill="FFFFFF"/>
                              <w:hideMark/>
                            </w:tcPr>
                            <w:p w14:paraId="201D0E1A" w14:textId="77777777" w:rsidR="00563987" w:rsidRPr="00563987" w:rsidRDefault="00563987" w:rsidP="00563987">
                              <w:pPr>
                                <w:rPr>
                                  <w:rFonts w:eastAsiaTheme="minorHAnsi"/>
                                </w:rPr>
                              </w:pPr>
                              <w:r w:rsidRPr="00563987">
                                <w:rPr>
                                  <w:rFonts w:eastAsiaTheme="minorHAnsi"/>
                                </w:rPr>
                                <w:t>5</w:t>
                              </w:r>
                            </w:p>
                          </w:tc>
                          <w:tc>
                            <w:tcPr>
                              <w:tcW w:w="0" w:type="auto"/>
                              <w:shd w:val="clear" w:color="auto" w:fill="FFFFFF"/>
                              <w:hideMark/>
                            </w:tcPr>
                            <w:p w14:paraId="15B2BB36"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04C4D033"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0D73F63E" w14:textId="77777777" w:rsidR="00563987" w:rsidRPr="00563987" w:rsidRDefault="00563987" w:rsidP="00563987">
                              <w:pPr>
                                <w:rPr>
                                  <w:rFonts w:eastAsiaTheme="minorHAnsi"/>
                                </w:rPr>
                              </w:pPr>
                              <w:r w:rsidRPr="00563987">
                                <w:rPr>
                                  <w:rFonts w:eastAsiaTheme="minorHAnsi"/>
                                </w:rPr>
                                <w:t>A</w:t>
                              </w:r>
                            </w:p>
                          </w:tc>
                        </w:tr>
                        <w:tr w:rsidR="00563987" w:rsidRPr="00563987" w14:paraId="331DF179" w14:textId="77777777">
                          <w:trPr>
                            <w:tblCellSpacing w:w="7" w:type="dxa"/>
                          </w:trPr>
                          <w:tc>
                            <w:tcPr>
                              <w:tcW w:w="0" w:type="auto"/>
                              <w:shd w:val="clear" w:color="auto" w:fill="FFFFFF"/>
                              <w:hideMark/>
                            </w:tcPr>
                            <w:p w14:paraId="6E2009E2" w14:textId="77777777" w:rsidR="00563987" w:rsidRPr="00563987" w:rsidRDefault="00563987" w:rsidP="00563987">
                              <w:pPr>
                                <w:rPr>
                                  <w:rFonts w:eastAsiaTheme="minorHAnsi"/>
                                </w:rPr>
                              </w:pPr>
                              <w:r w:rsidRPr="00563987">
                                <w:rPr>
                                  <w:rFonts w:eastAsiaTheme="minorHAnsi"/>
                                </w:rPr>
                                <w:t>6</w:t>
                              </w:r>
                            </w:p>
                          </w:tc>
                          <w:tc>
                            <w:tcPr>
                              <w:tcW w:w="0" w:type="auto"/>
                              <w:shd w:val="clear" w:color="auto" w:fill="FFFFFF"/>
                              <w:hideMark/>
                            </w:tcPr>
                            <w:p w14:paraId="5E281225"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424CF6C6"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1DA3E1E6" w14:textId="77777777" w:rsidR="00563987" w:rsidRPr="00563987" w:rsidRDefault="00563987" w:rsidP="00563987">
                              <w:pPr>
                                <w:rPr>
                                  <w:rFonts w:eastAsiaTheme="minorHAnsi"/>
                                </w:rPr>
                              </w:pPr>
                              <w:r w:rsidRPr="00563987">
                                <w:rPr>
                                  <w:rFonts w:eastAsiaTheme="minorHAnsi"/>
                                </w:rPr>
                                <w:t>C</w:t>
                              </w:r>
                            </w:p>
                          </w:tc>
                        </w:tr>
                      </w:tbl>
                      <w:p w14:paraId="1EC57C49" w14:textId="77777777" w:rsidR="00563987" w:rsidRPr="00563987" w:rsidRDefault="00563987" w:rsidP="00563987">
                        <w:pPr>
                          <w:rPr>
                            <w:rFonts w:eastAsiaTheme="minorHAnsi"/>
                          </w:rPr>
                        </w:pPr>
                      </w:p>
                    </w:tc>
                  </w:tr>
                  <w:tr w:rsidR="00563987" w:rsidRPr="00563987" w14:paraId="6C43F5B8" w14:textId="77777777">
                    <w:trPr>
                      <w:tblCellSpacing w:w="0" w:type="dxa"/>
                    </w:trPr>
                    <w:tc>
                      <w:tcPr>
                        <w:tcW w:w="0" w:type="auto"/>
                        <w:shd w:val="clear" w:color="auto" w:fill="FFFFFF"/>
                        <w:vAlign w:val="center"/>
                        <w:hideMark/>
                      </w:tcPr>
                      <w:p w14:paraId="71307D4D" w14:textId="77777777" w:rsidR="00563987" w:rsidRPr="00563987" w:rsidRDefault="00563987" w:rsidP="00563987">
                        <w:pPr>
                          <w:rPr>
                            <w:rFonts w:eastAsiaTheme="minorHAnsi"/>
                          </w:rPr>
                        </w:pPr>
                      </w:p>
                    </w:tc>
                  </w:tr>
                </w:tbl>
                <w:p w14:paraId="063692B4" w14:textId="77777777" w:rsidR="00563987" w:rsidRPr="00563987" w:rsidRDefault="00563987" w:rsidP="00563987">
                  <w:pPr>
                    <w:rPr>
                      <w:rFonts w:eastAsiaTheme="minorHAnsi"/>
                      <w:vanish/>
                    </w:rPr>
                  </w:pPr>
                  <w:bookmarkStart w:id="110" w:name="2481829"/>
                  <w:bookmarkEnd w:id="11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4E36D70A"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61B44613" w14:textId="77777777">
                          <w:trPr>
                            <w:tblCellSpacing w:w="0" w:type="dxa"/>
                          </w:trPr>
                          <w:tc>
                            <w:tcPr>
                              <w:tcW w:w="0" w:type="auto"/>
                              <w:vAlign w:val="center"/>
                              <w:hideMark/>
                            </w:tcPr>
                            <w:p w14:paraId="76A6A46E" w14:textId="77777777" w:rsidR="00563987" w:rsidRPr="00563987" w:rsidRDefault="00563987" w:rsidP="00563987">
                              <w:pPr>
                                <w:rPr>
                                  <w:rFonts w:eastAsiaTheme="minorHAnsi"/>
                                </w:rPr>
                              </w:pPr>
                              <w:r w:rsidRPr="00563987">
                                <w:rPr>
                                  <w:rFonts w:eastAsiaTheme="minorHAnsi"/>
                                </w:rPr>
                                <w:t xml:space="preserve">Table 15.4 Latin-Square Crossover Design for a </w:t>
                              </w:r>
                              <w:proofErr w:type="spellStart"/>
                              <w:r w:rsidRPr="00563987">
                                <w:rPr>
                                  <w:rFonts w:eastAsiaTheme="minorHAnsi"/>
                                </w:rPr>
                                <w:t>Bioequivalency</w:t>
                              </w:r>
                              <w:proofErr w:type="spellEnd"/>
                              <w:r w:rsidRPr="00563987">
                                <w:rPr>
                                  <w:rFonts w:eastAsiaTheme="minorHAnsi"/>
                                </w:rPr>
                                <w:t xml:space="preserve"> Study of Four Drug Products in 16 Human Volunteers</w:t>
                              </w:r>
                            </w:p>
                            <w:p w14:paraId="71FF1422" w14:textId="77777777" w:rsidR="00563987" w:rsidRPr="00563987" w:rsidRDefault="00563987" w:rsidP="00563987">
                              <w:pPr>
                                <w:rPr>
                                  <w:rFonts w:eastAsiaTheme="minorHAnsi"/>
                                </w:rPr>
                              </w:pPr>
                            </w:p>
                          </w:tc>
                        </w:tr>
                      </w:tbl>
                      <w:p w14:paraId="5BF12C21" w14:textId="77777777" w:rsidR="00563987" w:rsidRPr="00563987" w:rsidRDefault="00563987" w:rsidP="00563987">
                        <w:pPr>
                          <w:rPr>
                            <w:rFonts w:eastAsiaTheme="minorHAnsi"/>
                          </w:rPr>
                        </w:pPr>
                      </w:p>
                    </w:tc>
                  </w:tr>
                  <w:tr w:rsidR="00563987" w:rsidRPr="00563987" w14:paraId="7E5AF6C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33"/>
                          <w:gridCol w:w="2266"/>
                          <w:gridCol w:w="2266"/>
                          <w:gridCol w:w="2266"/>
                          <w:gridCol w:w="2273"/>
                        </w:tblGrid>
                        <w:tr w:rsidR="00563987" w:rsidRPr="00563987" w14:paraId="6A9C5BE6" w14:textId="77777777">
                          <w:trPr>
                            <w:tblHeader/>
                            <w:tblCellSpacing w:w="7" w:type="dxa"/>
                          </w:trPr>
                          <w:tc>
                            <w:tcPr>
                              <w:tcW w:w="0" w:type="auto"/>
                              <w:shd w:val="clear" w:color="auto" w:fill="FFFFFF"/>
                              <w:hideMark/>
                            </w:tcPr>
                            <w:p w14:paraId="28E46770" w14:textId="77777777" w:rsidR="00563987" w:rsidRPr="00563987" w:rsidRDefault="00563987" w:rsidP="00563987">
                              <w:pPr>
                                <w:rPr>
                                  <w:rFonts w:eastAsiaTheme="minorHAnsi"/>
                                  <w:b/>
                                  <w:bCs/>
                                </w:rPr>
                              </w:pPr>
                              <w:r w:rsidRPr="00563987">
                                <w:rPr>
                                  <w:rFonts w:eastAsiaTheme="minorHAnsi"/>
                                  <w:b/>
                                  <w:bCs/>
                                </w:rPr>
                                <w:t> </w:t>
                              </w:r>
                            </w:p>
                          </w:tc>
                          <w:tc>
                            <w:tcPr>
                              <w:tcW w:w="0" w:type="auto"/>
                              <w:gridSpan w:val="4"/>
                              <w:shd w:val="clear" w:color="auto" w:fill="FFFFFF"/>
                              <w:hideMark/>
                            </w:tcPr>
                            <w:p w14:paraId="5D60EE21" w14:textId="77777777" w:rsidR="00563987" w:rsidRPr="00563987" w:rsidRDefault="00563987" w:rsidP="00563987">
                              <w:pPr>
                                <w:rPr>
                                  <w:rFonts w:eastAsiaTheme="minorHAnsi"/>
                                  <w:b/>
                                  <w:bCs/>
                                </w:rPr>
                              </w:pPr>
                              <w:r w:rsidRPr="00563987">
                                <w:rPr>
                                  <w:rFonts w:eastAsiaTheme="minorHAnsi"/>
                                  <w:b/>
                                  <w:bCs/>
                                </w:rPr>
                                <w:t>Drug Product</w:t>
                              </w:r>
                            </w:p>
                          </w:tc>
                        </w:tr>
                        <w:tr w:rsidR="00563987" w:rsidRPr="00563987" w14:paraId="7DEAEBB2" w14:textId="77777777">
                          <w:trPr>
                            <w:tblHeader/>
                            <w:tblCellSpacing w:w="7" w:type="dxa"/>
                          </w:trPr>
                          <w:tc>
                            <w:tcPr>
                              <w:tcW w:w="0" w:type="auto"/>
                              <w:shd w:val="clear" w:color="auto" w:fill="FFFFFF"/>
                              <w:hideMark/>
                            </w:tcPr>
                            <w:p w14:paraId="0B7E86B0" w14:textId="77777777" w:rsidR="00563987" w:rsidRPr="00563987" w:rsidRDefault="00563987" w:rsidP="00563987">
                              <w:pPr>
                                <w:rPr>
                                  <w:rFonts w:eastAsiaTheme="minorHAnsi"/>
                                  <w:b/>
                                  <w:bCs/>
                                </w:rPr>
                              </w:pPr>
                              <w:r w:rsidRPr="00563987">
                                <w:rPr>
                                  <w:rFonts w:eastAsiaTheme="minorHAnsi"/>
                                  <w:b/>
                                  <w:bCs/>
                                </w:rPr>
                                <w:t>Subject</w:t>
                              </w:r>
                            </w:p>
                          </w:tc>
                          <w:tc>
                            <w:tcPr>
                              <w:tcW w:w="0" w:type="auto"/>
                              <w:shd w:val="clear" w:color="auto" w:fill="FFFFFF"/>
                              <w:hideMark/>
                            </w:tcPr>
                            <w:p w14:paraId="1001B248" w14:textId="77777777" w:rsidR="00563987" w:rsidRPr="00563987" w:rsidRDefault="00563987" w:rsidP="00563987">
                              <w:pPr>
                                <w:rPr>
                                  <w:rFonts w:eastAsiaTheme="minorHAnsi"/>
                                  <w:b/>
                                  <w:bCs/>
                                </w:rPr>
                              </w:pPr>
                              <w:r w:rsidRPr="00563987">
                                <w:rPr>
                                  <w:rFonts w:eastAsiaTheme="minorHAnsi"/>
                                  <w:b/>
                                  <w:bCs/>
                                </w:rPr>
                                <w:t>Study Period 1</w:t>
                              </w:r>
                            </w:p>
                          </w:tc>
                          <w:tc>
                            <w:tcPr>
                              <w:tcW w:w="0" w:type="auto"/>
                              <w:shd w:val="clear" w:color="auto" w:fill="FFFFFF"/>
                              <w:hideMark/>
                            </w:tcPr>
                            <w:p w14:paraId="2C212B4E" w14:textId="77777777" w:rsidR="00563987" w:rsidRPr="00563987" w:rsidRDefault="00563987" w:rsidP="00563987">
                              <w:pPr>
                                <w:rPr>
                                  <w:rFonts w:eastAsiaTheme="minorHAnsi"/>
                                  <w:b/>
                                  <w:bCs/>
                                </w:rPr>
                              </w:pPr>
                              <w:r w:rsidRPr="00563987">
                                <w:rPr>
                                  <w:rFonts w:eastAsiaTheme="minorHAnsi"/>
                                  <w:b/>
                                  <w:bCs/>
                                </w:rPr>
                                <w:t>Study Period 2</w:t>
                              </w:r>
                            </w:p>
                          </w:tc>
                          <w:tc>
                            <w:tcPr>
                              <w:tcW w:w="0" w:type="auto"/>
                              <w:shd w:val="clear" w:color="auto" w:fill="FFFFFF"/>
                              <w:hideMark/>
                            </w:tcPr>
                            <w:p w14:paraId="0F871D31" w14:textId="77777777" w:rsidR="00563987" w:rsidRPr="00563987" w:rsidRDefault="00563987" w:rsidP="00563987">
                              <w:pPr>
                                <w:rPr>
                                  <w:rFonts w:eastAsiaTheme="minorHAnsi"/>
                                  <w:b/>
                                  <w:bCs/>
                                </w:rPr>
                              </w:pPr>
                              <w:r w:rsidRPr="00563987">
                                <w:rPr>
                                  <w:rFonts w:eastAsiaTheme="minorHAnsi"/>
                                  <w:b/>
                                  <w:bCs/>
                                </w:rPr>
                                <w:t>Study Period 3</w:t>
                              </w:r>
                            </w:p>
                          </w:tc>
                          <w:tc>
                            <w:tcPr>
                              <w:tcW w:w="0" w:type="auto"/>
                              <w:shd w:val="clear" w:color="auto" w:fill="FFFFFF"/>
                              <w:hideMark/>
                            </w:tcPr>
                            <w:p w14:paraId="4D7789B6" w14:textId="77777777" w:rsidR="00563987" w:rsidRPr="00563987" w:rsidRDefault="00563987" w:rsidP="00563987">
                              <w:pPr>
                                <w:rPr>
                                  <w:rFonts w:eastAsiaTheme="minorHAnsi"/>
                                  <w:b/>
                                  <w:bCs/>
                                </w:rPr>
                              </w:pPr>
                              <w:r w:rsidRPr="00563987">
                                <w:rPr>
                                  <w:rFonts w:eastAsiaTheme="minorHAnsi"/>
                                  <w:b/>
                                  <w:bCs/>
                                </w:rPr>
                                <w:t>Study Period 4</w:t>
                              </w:r>
                            </w:p>
                          </w:tc>
                        </w:tr>
                        <w:tr w:rsidR="00563987" w:rsidRPr="00563987" w14:paraId="22EBD5DB" w14:textId="77777777">
                          <w:trPr>
                            <w:tblCellSpacing w:w="7" w:type="dxa"/>
                          </w:trPr>
                          <w:tc>
                            <w:tcPr>
                              <w:tcW w:w="0" w:type="auto"/>
                              <w:shd w:val="clear" w:color="auto" w:fill="FFFFFF"/>
                              <w:hideMark/>
                            </w:tcPr>
                            <w:p w14:paraId="3861110A" w14:textId="77777777" w:rsidR="00563987" w:rsidRPr="00563987" w:rsidRDefault="00563987" w:rsidP="00563987">
                              <w:pPr>
                                <w:rPr>
                                  <w:rFonts w:eastAsiaTheme="minorHAnsi"/>
                                </w:rPr>
                              </w:pPr>
                              <w:r w:rsidRPr="00563987">
                                <w:rPr>
                                  <w:rFonts w:eastAsiaTheme="minorHAnsi"/>
                                </w:rPr>
                                <w:t>1</w:t>
                              </w:r>
                            </w:p>
                          </w:tc>
                          <w:tc>
                            <w:tcPr>
                              <w:tcW w:w="0" w:type="auto"/>
                              <w:shd w:val="clear" w:color="auto" w:fill="FFFFFF"/>
                              <w:hideMark/>
                            </w:tcPr>
                            <w:p w14:paraId="7ED76C65"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29664EA3"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54E38513"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37751D25" w14:textId="77777777" w:rsidR="00563987" w:rsidRPr="00563987" w:rsidRDefault="00563987" w:rsidP="00563987">
                              <w:pPr>
                                <w:rPr>
                                  <w:rFonts w:eastAsiaTheme="minorHAnsi"/>
                                </w:rPr>
                              </w:pPr>
                              <w:r w:rsidRPr="00563987">
                                <w:rPr>
                                  <w:rFonts w:eastAsiaTheme="minorHAnsi"/>
                                </w:rPr>
                                <w:t>D</w:t>
                              </w:r>
                            </w:p>
                          </w:tc>
                        </w:tr>
                        <w:tr w:rsidR="00563987" w:rsidRPr="00563987" w14:paraId="35731AED" w14:textId="77777777">
                          <w:trPr>
                            <w:tblCellSpacing w:w="7" w:type="dxa"/>
                          </w:trPr>
                          <w:tc>
                            <w:tcPr>
                              <w:tcW w:w="0" w:type="auto"/>
                              <w:shd w:val="clear" w:color="auto" w:fill="FFFFFF"/>
                              <w:hideMark/>
                            </w:tcPr>
                            <w:p w14:paraId="4C77FBFD" w14:textId="77777777" w:rsidR="00563987" w:rsidRPr="00563987" w:rsidRDefault="00563987" w:rsidP="00563987">
                              <w:pPr>
                                <w:rPr>
                                  <w:rFonts w:eastAsiaTheme="minorHAnsi"/>
                                </w:rPr>
                              </w:pPr>
                              <w:r w:rsidRPr="00563987">
                                <w:rPr>
                                  <w:rFonts w:eastAsiaTheme="minorHAnsi"/>
                                </w:rPr>
                                <w:t>2</w:t>
                              </w:r>
                            </w:p>
                          </w:tc>
                          <w:tc>
                            <w:tcPr>
                              <w:tcW w:w="0" w:type="auto"/>
                              <w:shd w:val="clear" w:color="auto" w:fill="FFFFFF"/>
                              <w:hideMark/>
                            </w:tcPr>
                            <w:p w14:paraId="320AF30D"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691B00E7"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4BFE8D30"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7F7B3A28" w14:textId="77777777" w:rsidR="00563987" w:rsidRPr="00563987" w:rsidRDefault="00563987" w:rsidP="00563987">
                              <w:pPr>
                                <w:rPr>
                                  <w:rFonts w:eastAsiaTheme="minorHAnsi"/>
                                </w:rPr>
                              </w:pPr>
                              <w:r w:rsidRPr="00563987">
                                <w:rPr>
                                  <w:rFonts w:eastAsiaTheme="minorHAnsi"/>
                                </w:rPr>
                                <w:t>A</w:t>
                              </w:r>
                            </w:p>
                          </w:tc>
                        </w:tr>
                        <w:tr w:rsidR="00563987" w:rsidRPr="00563987" w14:paraId="7D072C68" w14:textId="77777777">
                          <w:trPr>
                            <w:tblCellSpacing w:w="7" w:type="dxa"/>
                          </w:trPr>
                          <w:tc>
                            <w:tcPr>
                              <w:tcW w:w="0" w:type="auto"/>
                              <w:shd w:val="clear" w:color="auto" w:fill="FFFFFF"/>
                              <w:hideMark/>
                            </w:tcPr>
                            <w:p w14:paraId="1BDCBC75" w14:textId="77777777" w:rsidR="00563987" w:rsidRPr="00563987" w:rsidRDefault="00563987" w:rsidP="00563987">
                              <w:pPr>
                                <w:rPr>
                                  <w:rFonts w:eastAsiaTheme="minorHAnsi"/>
                                </w:rPr>
                              </w:pPr>
                              <w:r w:rsidRPr="00563987">
                                <w:rPr>
                                  <w:rFonts w:eastAsiaTheme="minorHAnsi"/>
                                </w:rPr>
                                <w:t>3</w:t>
                              </w:r>
                            </w:p>
                          </w:tc>
                          <w:tc>
                            <w:tcPr>
                              <w:tcW w:w="0" w:type="auto"/>
                              <w:shd w:val="clear" w:color="auto" w:fill="FFFFFF"/>
                              <w:hideMark/>
                            </w:tcPr>
                            <w:p w14:paraId="7E369D7B"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104474BE"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2D3F56A5"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71EBC590" w14:textId="77777777" w:rsidR="00563987" w:rsidRPr="00563987" w:rsidRDefault="00563987" w:rsidP="00563987">
                              <w:pPr>
                                <w:rPr>
                                  <w:rFonts w:eastAsiaTheme="minorHAnsi"/>
                                </w:rPr>
                              </w:pPr>
                              <w:r w:rsidRPr="00563987">
                                <w:rPr>
                                  <w:rFonts w:eastAsiaTheme="minorHAnsi"/>
                                </w:rPr>
                                <w:t>B</w:t>
                              </w:r>
                            </w:p>
                          </w:tc>
                        </w:tr>
                        <w:tr w:rsidR="00563987" w:rsidRPr="00563987" w14:paraId="449DEE67" w14:textId="77777777">
                          <w:trPr>
                            <w:tblCellSpacing w:w="7" w:type="dxa"/>
                          </w:trPr>
                          <w:tc>
                            <w:tcPr>
                              <w:tcW w:w="0" w:type="auto"/>
                              <w:shd w:val="clear" w:color="auto" w:fill="FFFFFF"/>
                              <w:hideMark/>
                            </w:tcPr>
                            <w:p w14:paraId="173F7ECE" w14:textId="77777777" w:rsidR="00563987" w:rsidRPr="00563987" w:rsidRDefault="00563987" w:rsidP="00563987">
                              <w:pPr>
                                <w:rPr>
                                  <w:rFonts w:eastAsiaTheme="minorHAnsi"/>
                                </w:rPr>
                              </w:pPr>
                              <w:r w:rsidRPr="00563987">
                                <w:rPr>
                                  <w:rFonts w:eastAsiaTheme="minorHAnsi"/>
                                </w:rPr>
                                <w:t>4</w:t>
                              </w:r>
                            </w:p>
                          </w:tc>
                          <w:tc>
                            <w:tcPr>
                              <w:tcW w:w="0" w:type="auto"/>
                              <w:shd w:val="clear" w:color="auto" w:fill="FFFFFF"/>
                              <w:hideMark/>
                            </w:tcPr>
                            <w:p w14:paraId="79F06366"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16223399"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39222BA8"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6EF192E9" w14:textId="77777777" w:rsidR="00563987" w:rsidRPr="00563987" w:rsidRDefault="00563987" w:rsidP="00563987">
                              <w:pPr>
                                <w:rPr>
                                  <w:rFonts w:eastAsiaTheme="minorHAnsi"/>
                                </w:rPr>
                              </w:pPr>
                              <w:r w:rsidRPr="00563987">
                                <w:rPr>
                                  <w:rFonts w:eastAsiaTheme="minorHAnsi"/>
                                </w:rPr>
                                <w:t>C</w:t>
                              </w:r>
                            </w:p>
                          </w:tc>
                        </w:tr>
                        <w:tr w:rsidR="00563987" w:rsidRPr="00563987" w14:paraId="465AF70F" w14:textId="77777777">
                          <w:trPr>
                            <w:tblCellSpacing w:w="7" w:type="dxa"/>
                          </w:trPr>
                          <w:tc>
                            <w:tcPr>
                              <w:tcW w:w="0" w:type="auto"/>
                              <w:shd w:val="clear" w:color="auto" w:fill="FFFFFF"/>
                              <w:hideMark/>
                            </w:tcPr>
                            <w:p w14:paraId="79CFC5B3" w14:textId="77777777" w:rsidR="00563987" w:rsidRPr="00563987" w:rsidRDefault="00563987" w:rsidP="00563987">
                              <w:pPr>
                                <w:rPr>
                                  <w:rFonts w:eastAsiaTheme="minorHAnsi"/>
                                </w:rPr>
                              </w:pPr>
                              <w:r w:rsidRPr="00563987">
                                <w:rPr>
                                  <w:rFonts w:eastAsiaTheme="minorHAnsi"/>
                                </w:rPr>
                                <w:t>5</w:t>
                              </w:r>
                            </w:p>
                          </w:tc>
                          <w:tc>
                            <w:tcPr>
                              <w:tcW w:w="0" w:type="auto"/>
                              <w:shd w:val="clear" w:color="auto" w:fill="FFFFFF"/>
                              <w:hideMark/>
                            </w:tcPr>
                            <w:p w14:paraId="32E04D87"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620B044A"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5BB07953"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1C2B5B51" w14:textId="77777777" w:rsidR="00563987" w:rsidRPr="00563987" w:rsidRDefault="00563987" w:rsidP="00563987">
                              <w:pPr>
                                <w:rPr>
                                  <w:rFonts w:eastAsiaTheme="minorHAnsi"/>
                                </w:rPr>
                              </w:pPr>
                              <w:r w:rsidRPr="00563987">
                                <w:rPr>
                                  <w:rFonts w:eastAsiaTheme="minorHAnsi"/>
                                </w:rPr>
                                <w:t>C</w:t>
                              </w:r>
                            </w:p>
                          </w:tc>
                        </w:tr>
                        <w:tr w:rsidR="00563987" w:rsidRPr="00563987" w14:paraId="04120F2E" w14:textId="77777777">
                          <w:trPr>
                            <w:tblCellSpacing w:w="7" w:type="dxa"/>
                          </w:trPr>
                          <w:tc>
                            <w:tcPr>
                              <w:tcW w:w="0" w:type="auto"/>
                              <w:shd w:val="clear" w:color="auto" w:fill="FFFFFF"/>
                              <w:hideMark/>
                            </w:tcPr>
                            <w:p w14:paraId="2AC4E2FA" w14:textId="77777777" w:rsidR="00563987" w:rsidRPr="00563987" w:rsidRDefault="00563987" w:rsidP="00563987">
                              <w:pPr>
                                <w:rPr>
                                  <w:rFonts w:eastAsiaTheme="minorHAnsi"/>
                                </w:rPr>
                              </w:pPr>
                              <w:r w:rsidRPr="00563987">
                                <w:rPr>
                                  <w:rFonts w:eastAsiaTheme="minorHAnsi"/>
                                </w:rPr>
                                <w:t>6</w:t>
                              </w:r>
                            </w:p>
                          </w:tc>
                          <w:tc>
                            <w:tcPr>
                              <w:tcW w:w="0" w:type="auto"/>
                              <w:shd w:val="clear" w:color="auto" w:fill="FFFFFF"/>
                              <w:hideMark/>
                            </w:tcPr>
                            <w:p w14:paraId="5E445335"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7E38EF8B"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694A98C9"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6DD4496F" w14:textId="77777777" w:rsidR="00563987" w:rsidRPr="00563987" w:rsidRDefault="00563987" w:rsidP="00563987">
                              <w:pPr>
                                <w:rPr>
                                  <w:rFonts w:eastAsiaTheme="minorHAnsi"/>
                                </w:rPr>
                              </w:pPr>
                              <w:r w:rsidRPr="00563987">
                                <w:rPr>
                                  <w:rFonts w:eastAsiaTheme="minorHAnsi"/>
                                </w:rPr>
                                <w:t>A</w:t>
                              </w:r>
                            </w:p>
                          </w:tc>
                        </w:tr>
                        <w:tr w:rsidR="00563987" w:rsidRPr="00563987" w14:paraId="3E4E280B" w14:textId="77777777">
                          <w:trPr>
                            <w:tblCellSpacing w:w="7" w:type="dxa"/>
                          </w:trPr>
                          <w:tc>
                            <w:tcPr>
                              <w:tcW w:w="0" w:type="auto"/>
                              <w:shd w:val="clear" w:color="auto" w:fill="FFFFFF"/>
                              <w:hideMark/>
                            </w:tcPr>
                            <w:p w14:paraId="43DD01E5" w14:textId="77777777" w:rsidR="00563987" w:rsidRPr="00563987" w:rsidRDefault="00563987" w:rsidP="00563987">
                              <w:pPr>
                                <w:rPr>
                                  <w:rFonts w:eastAsiaTheme="minorHAnsi"/>
                                </w:rPr>
                              </w:pPr>
                              <w:r w:rsidRPr="00563987">
                                <w:rPr>
                                  <w:rFonts w:eastAsiaTheme="minorHAnsi"/>
                                </w:rPr>
                                <w:t>7</w:t>
                              </w:r>
                            </w:p>
                          </w:tc>
                          <w:tc>
                            <w:tcPr>
                              <w:tcW w:w="0" w:type="auto"/>
                              <w:shd w:val="clear" w:color="auto" w:fill="FFFFFF"/>
                              <w:hideMark/>
                            </w:tcPr>
                            <w:p w14:paraId="109E9226"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2E597B1F"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39D51A65"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3F626F21" w14:textId="77777777" w:rsidR="00563987" w:rsidRPr="00563987" w:rsidRDefault="00563987" w:rsidP="00563987">
                              <w:pPr>
                                <w:rPr>
                                  <w:rFonts w:eastAsiaTheme="minorHAnsi"/>
                                </w:rPr>
                              </w:pPr>
                              <w:r w:rsidRPr="00563987">
                                <w:rPr>
                                  <w:rFonts w:eastAsiaTheme="minorHAnsi"/>
                                </w:rPr>
                                <w:t>B</w:t>
                              </w:r>
                            </w:p>
                          </w:tc>
                        </w:tr>
                        <w:tr w:rsidR="00563987" w:rsidRPr="00563987" w14:paraId="519C9DF2" w14:textId="77777777">
                          <w:trPr>
                            <w:tblCellSpacing w:w="7" w:type="dxa"/>
                          </w:trPr>
                          <w:tc>
                            <w:tcPr>
                              <w:tcW w:w="0" w:type="auto"/>
                              <w:shd w:val="clear" w:color="auto" w:fill="FFFFFF"/>
                              <w:hideMark/>
                            </w:tcPr>
                            <w:p w14:paraId="57630CC7" w14:textId="77777777" w:rsidR="00563987" w:rsidRPr="00563987" w:rsidRDefault="00563987" w:rsidP="00563987">
                              <w:pPr>
                                <w:rPr>
                                  <w:rFonts w:eastAsiaTheme="minorHAnsi"/>
                                </w:rPr>
                              </w:pPr>
                              <w:r w:rsidRPr="00563987">
                                <w:rPr>
                                  <w:rFonts w:eastAsiaTheme="minorHAnsi"/>
                                </w:rPr>
                                <w:t>8</w:t>
                              </w:r>
                            </w:p>
                          </w:tc>
                          <w:tc>
                            <w:tcPr>
                              <w:tcW w:w="0" w:type="auto"/>
                              <w:shd w:val="clear" w:color="auto" w:fill="FFFFFF"/>
                              <w:hideMark/>
                            </w:tcPr>
                            <w:p w14:paraId="0DEE25E2"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042FFEAF"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404A402A"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7B8C54C2" w14:textId="77777777" w:rsidR="00563987" w:rsidRPr="00563987" w:rsidRDefault="00563987" w:rsidP="00563987">
                              <w:pPr>
                                <w:rPr>
                                  <w:rFonts w:eastAsiaTheme="minorHAnsi"/>
                                </w:rPr>
                              </w:pPr>
                              <w:r w:rsidRPr="00563987">
                                <w:rPr>
                                  <w:rFonts w:eastAsiaTheme="minorHAnsi"/>
                                </w:rPr>
                                <w:t>D</w:t>
                              </w:r>
                            </w:p>
                          </w:tc>
                        </w:tr>
                        <w:tr w:rsidR="00563987" w:rsidRPr="00563987" w14:paraId="269D593B" w14:textId="77777777">
                          <w:trPr>
                            <w:tblCellSpacing w:w="7" w:type="dxa"/>
                          </w:trPr>
                          <w:tc>
                            <w:tcPr>
                              <w:tcW w:w="0" w:type="auto"/>
                              <w:shd w:val="clear" w:color="auto" w:fill="FFFFFF"/>
                              <w:hideMark/>
                            </w:tcPr>
                            <w:p w14:paraId="00643658" w14:textId="77777777" w:rsidR="00563987" w:rsidRPr="00563987" w:rsidRDefault="00563987" w:rsidP="00563987">
                              <w:pPr>
                                <w:rPr>
                                  <w:rFonts w:eastAsiaTheme="minorHAnsi"/>
                                </w:rPr>
                              </w:pPr>
                              <w:r w:rsidRPr="00563987">
                                <w:rPr>
                                  <w:rFonts w:eastAsiaTheme="minorHAnsi"/>
                                </w:rPr>
                                <w:t>9</w:t>
                              </w:r>
                            </w:p>
                          </w:tc>
                          <w:tc>
                            <w:tcPr>
                              <w:tcW w:w="0" w:type="auto"/>
                              <w:shd w:val="clear" w:color="auto" w:fill="FFFFFF"/>
                              <w:hideMark/>
                            </w:tcPr>
                            <w:p w14:paraId="1F8570E3"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5D4880AB"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417CFDEE"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73267D2F" w14:textId="77777777" w:rsidR="00563987" w:rsidRPr="00563987" w:rsidRDefault="00563987" w:rsidP="00563987">
                              <w:pPr>
                                <w:rPr>
                                  <w:rFonts w:eastAsiaTheme="minorHAnsi"/>
                                </w:rPr>
                              </w:pPr>
                              <w:r w:rsidRPr="00563987">
                                <w:rPr>
                                  <w:rFonts w:eastAsiaTheme="minorHAnsi"/>
                                </w:rPr>
                                <w:t>D</w:t>
                              </w:r>
                            </w:p>
                          </w:tc>
                        </w:tr>
                        <w:tr w:rsidR="00563987" w:rsidRPr="00563987" w14:paraId="63B80161" w14:textId="77777777">
                          <w:trPr>
                            <w:tblCellSpacing w:w="7" w:type="dxa"/>
                          </w:trPr>
                          <w:tc>
                            <w:tcPr>
                              <w:tcW w:w="0" w:type="auto"/>
                              <w:shd w:val="clear" w:color="auto" w:fill="FFFFFF"/>
                              <w:hideMark/>
                            </w:tcPr>
                            <w:p w14:paraId="7D74E84C" w14:textId="77777777" w:rsidR="00563987" w:rsidRPr="00563987" w:rsidRDefault="00563987" w:rsidP="00563987">
                              <w:pPr>
                                <w:rPr>
                                  <w:rFonts w:eastAsiaTheme="minorHAnsi"/>
                                </w:rPr>
                              </w:pPr>
                              <w:r w:rsidRPr="00563987">
                                <w:rPr>
                                  <w:rFonts w:eastAsiaTheme="minorHAnsi"/>
                                </w:rPr>
                                <w:t>10</w:t>
                              </w:r>
                            </w:p>
                          </w:tc>
                          <w:tc>
                            <w:tcPr>
                              <w:tcW w:w="0" w:type="auto"/>
                              <w:shd w:val="clear" w:color="auto" w:fill="FFFFFF"/>
                              <w:hideMark/>
                            </w:tcPr>
                            <w:p w14:paraId="0900B0D6"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7A8CB3B7"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02D7799B"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1F60E82E" w14:textId="77777777" w:rsidR="00563987" w:rsidRPr="00563987" w:rsidRDefault="00563987" w:rsidP="00563987">
                              <w:pPr>
                                <w:rPr>
                                  <w:rFonts w:eastAsiaTheme="minorHAnsi"/>
                                </w:rPr>
                              </w:pPr>
                              <w:r w:rsidRPr="00563987">
                                <w:rPr>
                                  <w:rFonts w:eastAsiaTheme="minorHAnsi"/>
                                </w:rPr>
                                <w:t>A</w:t>
                              </w:r>
                            </w:p>
                          </w:tc>
                        </w:tr>
                        <w:tr w:rsidR="00563987" w:rsidRPr="00563987" w14:paraId="33F9614A" w14:textId="77777777">
                          <w:trPr>
                            <w:tblCellSpacing w:w="7" w:type="dxa"/>
                          </w:trPr>
                          <w:tc>
                            <w:tcPr>
                              <w:tcW w:w="0" w:type="auto"/>
                              <w:shd w:val="clear" w:color="auto" w:fill="FFFFFF"/>
                              <w:hideMark/>
                            </w:tcPr>
                            <w:p w14:paraId="2519E0D3" w14:textId="77777777" w:rsidR="00563987" w:rsidRPr="00563987" w:rsidRDefault="00563987" w:rsidP="00563987">
                              <w:pPr>
                                <w:rPr>
                                  <w:rFonts w:eastAsiaTheme="minorHAnsi"/>
                                </w:rPr>
                              </w:pPr>
                              <w:r w:rsidRPr="00563987">
                                <w:rPr>
                                  <w:rFonts w:eastAsiaTheme="minorHAnsi"/>
                                </w:rPr>
                                <w:t>11</w:t>
                              </w:r>
                            </w:p>
                          </w:tc>
                          <w:tc>
                            <w:tcPr>
                              <w:tcW w:w="0" w:type="auto"/>
                              <w:shd w:val="clear" w:color="auto" w:fill="FFFFFF"/>
                              <w:hideMark/>
                            </w:tcPr>
                            <w:p w14:paraId="6CD2B86B"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6AF9E2CB"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0F7E84C1"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03B78F19" w14:textId="77777777" w:rsidR="00563987" w:rsidRPr="00563987" w:rsidRDefault="00563987" w:rsidP="00563987">
                              <w:pPr>
                                <w:rPr>
                                  <w:rFonts w:eastAsiaTheme="minorHAnsi"/>
                                </w:rPr>
                              </w:pPr>
                              <w:r w:rsidRPr="00563987">
                                <w:rPr>
                                  <w:rFonts w:eastAsiaTheme="minorHAnsi"/>
                                </w:rPr>
                                <w:t>C</w:t>
                              </w:r>
                            </w:p>
                          </w:tc>
                        </w:tr>
                        <w:tr w:rsidR="00563987" w:rsidRPr="00563987" w14:paraId="1973A3AE" w14:textId="77777777">
                          <w:trPr>
                            <w:tblCellSpacing w:w="7" w:type="dxa"/>
                          </w:trPr>
                          <w:tc>
                            <w:tcPr>
                              <w:tcW w:w="0" w:type="auto"/>
                              <w:shd w:val="clear" w:color="auto" w:fill="FFFFFF"/>
                              <w:hideMark/>
                            </w:tcPr>
                            <w:p w14:paraId="011617FF" w14:textId="77777777" w:rsidR="00563987" w:rsidRPr="00563987" w:rsidRDefault="00563987" w:rsidP="00563987">
                              <w:pPr>
                                <w:rPr>
                                  <w:rFonts w:eastAsiaTheme="minorHAnsi"/>
                                </w:rPr>
                              </w:pPr>
                              <w:r w:rsidRPr="00563987">
                                <w:rPr>
                                  <w:rFonts w:eastAsiaTheme="minorHAnsi"/>
                                </w:rPr>
                                <w:t>12</w:t>
                              </w:r>
                            </w:p>
                          </w:tc>
                          <w:tc>
                            <w:tcPr>
                              <w:tcW w:w="0" w:type="auto"/>
                              <w:shd w:val="clear" w:color="auto" w:fill="FFFFFF"/>
                              <w:hideMark/>
                            </w:tcPr>
                            <w:p w14:paraId="47A34962"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5E4313D6"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4E5CD8E0"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5AF8E4F0" w14:textId="77777777" w:rsidR="00563987" w:rsidRPr="00563987" w:rsidRDefault="00563987" w:rsidP="00563987">
                              <w:pPr>
                                <w:rPr>
                                  <w:rFonts w:eastAsiaTheme="minorHAnsi"/>
                                </w:rPr>
                              </w:pPr>
                              <w:r w:rsidRPr="00563987">
                                <w:rPr>
                                  <w:rFonts w:eastAsiaTheme="minorHAnsi"/>
                                </w:rPr>
                                <w:t>B</w:t>
                              </w:r>
                            </w:p>
                          </w:tc>
                        </w:tr>
                        <w:tr w:rsidR="00563987" w:rsidRPr="00563987" w14:paraId="47615326" w14:textId="77777777">
                          <w:trPr>
                            <w:tblCellSpacing w:w="7" w:type="dxa"/>
                          </w:trPr>
                          <w:tc>
                            <w:tcPr>
                              <w:tcW w:w="0" w:type="auto"/>
                              <w:shd w:val="clear" w:color="auto" w:fill="FFFFFF"/>
                              <w:hideMark/>
                            </w:tcPr>
                            <w:p w14:paraId="045B118C" w14:textId="77777777" w:rsidR="00563987" w:rsidRPr="00563987" w:rsidRDefault="00563987" w:rsidP="00563987">
                              <w:pPr>
                                <w:rPr>
                                  <w:rFonts w:eastAsiaTheme="minorHAnsi"/>
                                </w:rPr>
                              </w:pPr>
                              <w:r w:rsidRPr="00563987">
                                <w:rPr>
                                  <w:rFonts w:eastAsiaTheme="minorHAnsi"/>
                                </w:rPr>
                                <w:t>13</w:t>
                              </w:r>
                            </w:p>
                          </w:tc>
                          <w:tc>
                            <w:tcPr>
                              <w:tcW w:w="0" w:type="auto"/>
                              <w:shd w:val="clear" w:color="auto" w:fill="FFFFFF"/>
                              <w:hideMark/>
                            </w:tcPr>
                            <w:p w14:paraId="34BCD857"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4BC44916"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4434B5C5"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352E2C2C" w14:textId="77777777" w:rsidR="00563987" w:rsidRPr="00563987" w:rsidRDefault="00563987" w:rsidP="00563987">
                              <w:pPr>
                                <w:rPr>
                                  <w:rFonts w:eastAsiaTheme="minorHAnsi"/>
                                </w:rPr>
                              </w:pPr>
                              <w:r w:rsidRPr="00563987">
                                <w:rPr>
                                  <w:rFonts w:eastAsiaTheme="minorHAnsi"/>
                                </w:rPr>
                                <w:t>B</w:t>
                              </w:r>
                            </w:p>
                          </w:tc>
                        </w:tr>
                        <w:tr w:rsidR="00563987" w:rsidRPr="00563987" w14:paraId="5AA24B11" w14:textId="77777777">
                          <w:trPr>
                            <w:tblCellSpacing w:w="7" w:type="dxa"/>
                          </w:trPr>
                          <w:tc>
                            <w:tcPr>
                              <w:tcW w:w="0" w:type="auto"/>
                              <w:shd w:val="clear" w:color="auto" w:fill="FFFFFF"/>
                              <w:hideMark/>
                            </w:tcPr>
                            <w:p w14:paraId="7BBFB75C" w14:textId="77777777" w:rsidR="00563987" w:rsidRPr="00563987" w:rsidRDefault="00563987" w:rsidP="00563987">
                              <w:pPr>
                                <w:rPr>
                                  <w:rFonts w:eastAsiaTheme="minorHAnsi"/>
                                </w:rPr>
                              </w:pPr>
                              <w:r w:rsidRPr="00563987">
                                <w:rPr>
                                  <w:rFonts w:eastAsiaTheme="minorHAnsi"/>
                                </w:rPr>
                                <w:t>14</w:t>
                              </w:r>
                            </w:p>
                          </w:tc>
                          <w:tc>
                            <w:tcPr>
                              <w:tcW w:w="0" w:type="auto"/>
                              <w:shd w:val="clear" w:color="auto" w:fill="FFFFFF"/>
                              <w:hideMark/>
                            </w:tcPr>
                            <w:p w14:paraId="04EA4D78"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2BAAB09D"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4E463D78"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77B0F48A" w14:textId="77777777" w:rsidR="00563987" w:rsidRPr="00563987" w:rsidRDefault="00563987" w:rsidP="00563987">
                              <w:pPr>
                                <w:rPr>
                                  <w:rFonts w:eastAsiaTheme="minorHAnsi"/>
                                </w:rPr>
                              </w:pPr>
                              <w:r w:rsidRPr="00563987">
                                <w:rPr>
                                  <w:rFonts w:eastAsiaTheme="minorHAnsi"/>
                                </w:rPr>
                                <w:t>A</w:t>
                              </w:r>
                            </w:p>
                          </w:tc>
                        </w:tr>
                        <w:tr w:rsidR="00563987" w:rsidRPr="00563987" w14:paraId="2530A98D" w14:textId="77777777">
                          <w:trPr>
                            <w:tblCellSpacing w:w="7" w:type="dxa"/>
                          </w:trPr>
                          <w:tc>
                            <w:tcPr>
                              <w:tcW w:w="0" w:type="auto"/>
                              <w:shd w:val="clear" w:color="auto" w:fill="FFFFFF"/>
                              <w:hideMark/>
                            </w:tcPr>
                            <w:p w14:paraId="1F26AB9C" w14:textId="77777777" w:rsidR="00563987" w:rsidRPr="00563987" w:rsidRDefault="00563987" w:rsidP="00563987">
                              <w:pPr>
                                <w:rPr>
                                  <w:rFonts w:eastAsiaTheme="minorHAnsi"/>
                                </w:rPr>
                              </w:pPr>
                              <w:r w:rsidRPr="00563987">
                                <w:rPr>
                                  <w:rFonts w:eastAsiaTheme="minorHAnsi"/>
                                </w:rPr>
                                <w:t>15</w:t>
                              </w:r>
                            </w:p>
                          </w:tc>
                          <w:tc>
                            <w:tcPr>
                              <w:tcW w:w="0" w:type="auto"/>
                              <w:shd w:val="clear" w:color="auto" w:fill="FFFFFF"/>
                              <w:hideMark/>
                            </w:tcPr>
                            <w:p w14:paraId="299250BF" w14:textId="77777777" w:rsidR="00563987" w:rsidRPr="00563987" w:rsidRDefault="00563987" w:rsidP="00563987">
                              <w:pPr>
                                <w:rPr>
                                  <w:rFonts w:eastAsiaTheme="minorHAnsi"/>
                                </w:rPr>
                              </w:pPr>
                              <w:r w:rsidRPr="00563987">
                                <w:rPr>
                                  <w:rFonts w:eastAsiaTheme="minorHAnsi"/>
                                </w:rPr>
                                <w:t>D</w:t>
                              </w:r>
                            </w:p>
                          </w:tc>
                          <w:tc>
                            <w:tcPr>
                              <w:tcW w:w="0" w:type="auto"/>
                              <w:shd w:val="clear" w:color="auto" w:fill="FFFFFF"/>
                              <w:hideMark/>
                            </w:tcPr>
                            <w:p w14:paraId="6D307764"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77612685"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650FAB6F" w14:textId="77777777" w:rsidR="00563987" w:rsidRPr="00563987" w:rsidRDefault="00563987" w:rsidP="00563987">
                              <w:pPr>
                                <w:rPr>
                                  <w:rFonts w:eastAsiaTheme="minorHAnsi"/>
                                </w:rPr>
                              </w:pPr>
                              <w:r w:rsidRPr="00563987">
                                <w:rPr>
                                  <w:rFonts w:eastAsiaTheme="minorHAnsi"/>
                                </w:rPr>
                                <w:t>C</w:t>
                              </w:r>
                            </w:p>
                          </w:tc>
                        </w:tr>
                        <w:tr w:rsidR="00563987" w:rsidRPr="00563987" w14:paraId="30066D27" w14:textId="77777777">
                          <w:trPr>
                            <w:tblCellSpacing w:w="7" w:type="dxa"/>
                          </w:trPr>
                          <w:tc>
                            <w:tcPr>
                              <w:tcW w:w="0" w:type="auto"/>
                              <w:shd w:val="clear" w:color="auto" w:fill="FFFFFF"/>
                              <w:hideMark/>
                            </w:tcPr>
                            <w:p w14:paraId="56E55319" w14:textId="77777777" w:rsidR="00563987" w:rsidRPr="00563987" w:rsidRDefault="00563987" w:rsidP="00563987">
                              <w:pPr>
                                <w:rPr>
                                  <w:rFonts w:eastAsiaTheme="minorHAnsi"/>
                                </w:rPr>
                              </w:pPr>
                              <w:r w:rsidRPr="00563987">
                                <w:rPr>
                                  <w:rFonts w:eastAsiaTheme="minorHAnsi"/>
                                </w:rPr>
                                <w:t>16</w:t>
                              </w:r>
                            </w:p>
                          </w:tc>
                          <w:tc>
                            <w:tcPr>
                              <w:tcW w:w="0" w:type="auto"/>
                              <w:shd w:val="clear" w:color="auto" w:fill="FFFFFF"/>
                              <w:hideMark/>
                            </w:tcPr>
                            <w:p w14:paraId="36B1CDDC" w14:textId="77777777" w:rsidR="00563987" w:rsidRPr="00563987" w:rsidRDefault="00563987" w:rsidP="00563987">
                              <w:pPr>
                                <w:rPr>
                                  <w:rFonts w:eastAsiaTheme="minorHAnsi"/>
                                </w:rPr>
                              </w:pPr>
                              <w:r w:rsidRPr="00563987">
                                <w:rPr>
                                  <w:rFonts w:eastAsiaTheme="minorHAnsi"/>
                                </w:rPr>
                                <w:t>B</w:t>
                              </w:r>
                            </w:p>
                          </w:tc>
                          <w:tc>
                            <w:tcPr>
                              <w:tcW w:w="0" w:type="auto"/>
                              <w:shd w:val="clear" w:color="auto" w:fill="FFFFFF"/>
                              <w:hideMark/>
                            </w:tcPr>
                            <w:p w14:paraId="5E333A5A" w14:textId="77777777" w:rsidR="00563987" w:rsidRPr="00563987" w:rsidRDefault="00563987" w:rsidP="00563987">
                              <w:pPr>
                                <w:rPr>
                                  <w:rFonts w:eastAsiaTheme="minorHAnsi"/>
                                </w:rPr>
                              </w:pPr>
                              <w:r w:rsidRPr="00563987">
                                <w:rPr>
                                  <w:rFonts w:eastAsiaTheme="minorHAnsi"/>
                                </w:rPr>
                                <w:t>A</w:t>
                              </w:r>
                            </w:p>
                          </w:tc>
                          <w:tc>
                            <w:tcPr>
                              <w:tcW w:w="0" w:type="auto"/>
                              <w:shd w:val="clear" w:color="auto" w:fill="FFFFFF"/>
                              <w:hideMark/>
                            </w:tcPr>
                            <w:p w14:paraId="6E5268D5" w14:textId="77777777" w:rsidR="00563987" w:rsidRPr="00563987" w:rsidRDefault="00563987" w:rsidP="00563987">
                              <w:pPr>
                                <w:rPr>
                                  <w:rFonts w:eastAsiaTheme="minorHAnsi"/>
                                </w:rPr>
                              </w:pPr>
                              <w:r w:rsidRPr="00563987">
                                <w:rPr>
                                  <w:rFonts w:eastAsiaTheme="minorHAnsi"/>
                                </w:rPr>
                                <w:t>C</w:t>
                              </w:r>
                            </w:p>
                          </w:tc>
                          <w:tc>
                            <w:tcPr>
                              <w:tcW w:w="0" w:type="auto"/>
                              <w:shd w:val="clear" w:color="auto" w:fill="FFFFFF"/>
                              <w:hideMark/>
                            </w:tcPr>
                            <w:p w14:paraId="6A8CA0EC" w14:textId="77777777" w:rsidR="00563987" w:rsidRPr="00563987" w:rsidRDefault="00563987" w:rsidP="00563987">
                              <w:pPr>
                                <w:rPr>
                                  <w:rFonts w:eastAsiaTheme="minorHAnsi"/>
                                </w:rPr>
                              </w:pPr>
                              <w:r w:rsidRPr="00563987">
                                <w:rPr>
                                  <w:rFonts w:eastAsiaTheme="minorHAnsi"/>
                                </w:rPr>
                                <w:t>D</w:t>
                              </w:r>
                            </w:p>
                          </w:tc>
                        </w:tr>
                      </w:tbl>
                      <w:p w14:paraId="01964ED5" w14:textId="77777777" w:rsidR="00563987" w:rsidRPr="00563987" w:rsidRDefault="00563987" w:rsidP="00563987">
                        <w:pPr>
                          <w:rPr>
                            <w:rFonts w:eastAsiaTheme="minorHAnsi"/>
                          </w:rPr>
                        </w:pPr>
                      </w:p>
                    </w:tc>
                  </w:tr>
                  <w:tr w:rsidR="00563987" w:rsidRPr="00563987" w14:paraId="5B904885" w14:textId="77777777">
                    <w:trPr>
                      <w:tblCellSpacing w:w="0" w:type="dxa"/>
                    </w:trPr>
                    <w:tc>
                      <w:tcPr>
                        <w:tcW w:w="0" w:type="auto"/>
                        <w:shd w:val="clear" w:color="auto" w:fill="FFFFFF"/>
                        <w:vAlign w:val="center"/>
                        <w:hideMark/>
                      </w:tcPr>
                      <w:p w14:paraId="02BB03E0" w14:textId="77777777" w:rsidR="00563987" w:rsidRPr="00563987" w:rsidRDefault="00563987" w:rsidP="00563987">
                        <w:pPr>
                          <w:rPr>
                            <w:rFonts w:eastAsiaTheme="minorHAnsi"/>
                          </w:rPr>
                        </w:pPr>
                      </w:p>
                    </w:tc>
                  </w:tr>
                </w:tbl>
                <w:p w14:paraId="493AED3C" w14:textId="77777777" w:rsidR="00563987" w:rsidRPr="00563987" w:rsidRDefault="00563987" w:rsidP="00563987">
                  <w:pPr>
                    <w:rPr>
                      <w:rFonts w:eastAsiaTheme="minorHAnsi"/>
                    </w:rPr>
                  </w:pPr>
                  <w:bookmarkStart w:id="111" w:name="2481719"/>
                  <w:bookmarkEnd w:id="111"/>
                  <w:r w:rsidRPr="00563987">
                    <w:rPr>
                      <w:rFonts w:eastAsiaTheme="minorHAnsi"/>
                      <w:i/>
                      <w:iCs/>
                    </w:rPr>
                    <w:t>Period</w:t>
                  </w:r>
                  <w:r w:rsidRPr="00563987">
                    <w:rPr>
                      <w:rFonts w:eastAsiaTheme="minorHAnsi"/>
                    </w:rPr>
                    <w:t xml:space="preserve"> refers to the time period in which a study is performed. A two-period study is a study that is performed on two different days (time periods) separated by a </w:t>
                  </w:r>
                  <w:r w:rsidRPr="00563987">
                    <w:rPr>
                      <w:rFonts w:eastAsiaTheme="minorHAnsi"/>
                      <w:i/>
                      <w:iCs/>
                    </w:rPr>
                    <w:t>washout period</w:t>
                  </w:r>
                  <w:r w:rsidRPr="00563987">
                    <w:rPr>
                      <w:rFonts w:eastAsiaTheme="minorHAnsi"/>
                    </w:rPr>
                    <w:t xml:space="preserve"> during which most of the drug is eliminated from the body—generally about 10 elimination half-lives. A </w:t>
                  </w:r>
                  <w:r w:rsidRPr="00563987">
                    <w:rPr>
                      <w:rFonts w:eastAsiaTheme="minorHAnsi"/>
                      <w:i/>
                      <w:iCs/>
                    </w:rPr>
                    <w:t>sequence</w:t>
                  </w:r>
                  <w:r w:rsidRPr="00563987">
                    <w:rPr>
                      <w:rFonts w:eastAsiaTheme="minorHAnsi"/>
                    </w:rPr>
                    <w:t xml:space="preserve"> refers to the number of different orders in the treatment groups in a study. For example, a two-sequence, two-period study would be designed as follows: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59"/>
                  </w:tblGrid>
                  <w:tr w:rsidR="00563987" w:rsidRPr="00563987" w14:paraId="7BB4A682"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66"/>
                          <w:gridCol w:w="893"/>
                          <w:gridCol w:w="900"/>
                        </w:tblGrid>
                        <w:tr w:rsidR="00563987" w:rsidRPr="00563987" w14:paraId="6B18B615" w14:textId="77777777">
                          <w:trPr>
                            <w:tblHeader/>
                            <w:tblCellSpacing w:w="7" w:type="dxa"/>
                          </w:trPr>
                          <w:tc>
                            <w:tcPr>
                              <w:tcW w:w="0" w:type="auto"/>
                              <w:shd w:val="clear" w:color="auto" w:fill="FFFFFF"/>
                              <w:hideMark/>
                            </w:tcPr>
                            <w:p w14:paraId="74ABFC3F"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4F8FAD8" w14:textId="77777777" w:rsidR="00563987" w:rsidRPr="00563987" w:rsidRDefault="00563987" w:rsidP="00563987">
                              <w:pPr>
                                <w:rPr>
                                  <w:rFonts w:eastAsiaTheme="minorHAnsi"/>
                                  <w:b/>
                                  <w:bCs/>
                                </w:rPr>
                              </w:pPr>
                              <w:r w:rsidRPr="00563987">
                                <w:rPr>
                                  <w:rFonts w:eastAsiaTheme="minorHAnsi"/>
                                  <w:b/>
                                  <w:bCs/>
                                </w:rPr>
                                <w:t>Period 1</w:t>
                              </w:r>
                            </w:p>
                          </w:tc>
                          <w:tc>
                            <w:tcPr>
                              <w:tcW w:w="0" w:type="auto"/>
                              <w:shd w:val="clear" w:color="auto" w:fill="FFFFFF"/>
                              <w:hideMark/>
                            </w:tcPr>
                            <w:p w14:paraId="5EBBF0FB" w14:textId="77777777" w:rsidR="00563987" w:rsidRPr="00563987" w:rsidRDefault="00563987" w:rsidP="00563987">
                              <w:pPr>
                                <w:rPr>
                                  <w:rFonts w:eastAsiaTheme="minorHAnsi"/>
                                  <w:b/>
                                  <w:bCs/>
                                </w:rPr>
                              </w:pPr>
                              <w:r w:rsidRPr="00563987">
                                <w:rPr>
                                  <w:rFonts w:eastAsiaTheme="minorHAnsi"/>
                                  <w:b/>
                                  <w:bCs/>
                                </w:rPr>
                                <w:t>Period 2</w:t>
                              </w:r>
                            </w:p>
                          </w:tc>
                        </w:tr>
                        <w:tr w:rsidR="00563987" w:rsidRPr="00563987" w14:paraId="10F797CF" w14:textId="77777777">
                          <w:trPr>
                            <w:tblCellSpacing w:w="7" w:type="dxa"/>
                          </w:trPr>
                          <w:tc>
                            <w:tcPr>
                              <w:tcW w:w="0" w:type="auto"/>
                              <w:shd w:val="clear" w:color="auto" w:fill="FFFFFF"/>
                              <w:hideMark/>
                            </w:tcPr>
                            <w:p w14:paraId="2E0E28DC" w14:textId="77777777" w:rsidR="00563987" w:rsidRPr="00563987" w:rsidRDefault="00563987" w:rsidP="00563987">
                              <w:pPr>
                                <w:rPr>
                                  <w:rFonts w:eastAsiaTheme="minorHAnsi"/>
                                </w:rPr>
                              </w:pPr>
                              <w:r w:rsidRPr="00563987">
                                <w:rPr>
                                  <w:rFonts w:eastAsiaTheme="minorHAnsi"/>
                                  <w:b/>
                                  <w:bCs/>
                                </w:rPr>
                                <w:t>Sequence 1</w:t>
                              </w:r>
                              <w:r w:rsidRPr="00563987">
                                <w:rPr>
                                  <w:rFonts w:eastAsiaTheme="minorHAnsi"/>
                                </w:rPr>
                                <w:t xml:space="preserve">  </w:t>
                              </w:r>
                            </w:p>
                          </w:tc>
                          <w:tc>
                            <w:tcPr>
                              <w:tcW w:w="0" w:type="auto"/>
                              <w:shd w:val="clear" w:color="auto" w:fill="FFFFFF"/>
                              <w:hideMark/>
                            </w:tcPr>
                            <w:p w14:paraId="704242AE" w14:textId="77777777" w:rsidR="00563987" w:rsidRPr="00563987" w:rsidRDefault="00563987" w:rsidP="00563987">
                              <w:pPr>
                                <w:rPr>
                                  <w:rFonts w:eastAsiaTheme="minorHAnsi"/>
                                </w:rPr>
                              </w:pPr>
                              <w:r w:rsidRPr="00563987">
                                <w:rPr>
                                  <w:rFonts w:eastAsiaTheme="minorHAnsi"/>
                                </w:rPr>
                                <w:t>T</w:t>
                              </w:r>
                            </w:p>
                          </w:tc>
                          <w:tc>
                            <w:tcPr>
                              <w:tcW w:w="0" w:type="auto"/>
                              <w:shd w:val="clear" w:color="auto" w:fill="FFFFFF"/>
                              <w:hideMark/>
                            </w:tcPr>
                            <w:p w14:paraId="39050758" w14:textId="77777777" w:rsidR="00563987" w:rsidRPr="00563987" w:rsidRDefault="00563987" w:rsidP="00563987">
                              <w:pPr>
                                <w:rPr>
                                  <w:rFonts w:eastAsiaTheme="minorHAnsi"/>
                                </w:rPr>
                              </w:pPr>
                              <w:r w:rsidRPr="00563987">
                                <w:rPr>
                                  <w:rFonts w:eastAsiaTheme="minorHAnsi"/>
                                </w:rPr>
                                <w:t>R</w:t>
                              </w:r>
                            </w:p>
                          </w:tc>
                        </w:tr>
                        <w:tr w:rsidR="00563987" w:rsidRPr="00563987" w14:paraId="09D5BB75" w14:textId="77777777">
                          <w:trPr>
                            <w:tblCellSpacing w:w="7" w:type="dxa"/>
                          </w:trPr>
                          <w:tc>
                            <w:tcPr>
                              <w:tcW w:w="0" w:type="auto"/>
                              <w:shd w:val="clear" w:color="auto" w:fill="FFFFFF"/>
                              <w:hideMark/>
                            </w:tcPr>
                            <w:p w14:paraId="058795B4" w14:textId="77777777" w:rsidR="00563987" w:rsidRPr="00563987" w:rsidRDefault="00563987" w:rsidP="00563987">
                              <w:pPr>
                                <w:rPr>
                                  <w:rFonts w:eastAsiaTheme="minorHAnsi"/>
                                </w:rPr>
                              </w:pPr>
                              <w:r w:rsidRPr="00563987">
                                <w:rPr>
                                  <w:rFonts w:eastAsiaTheme="minorHAnsi"/>
                                  <w:b/>
                                  <w:bCs/>
                                </w:rPr>
                                <w:t>Sequence 2</w:t>
                              </w:r>
                              <w:r w:rsidRPr="00563987">
                                <w:rPr>
                                  <w:rFonts w:eastAsiaTheme="minorHAnsi"/>
                                </w:rPr>
                                <w:t xml:space="preserve">  </w:t>
                              </w:r>
                            </w:p>
                          </w:tc>
                          <w:tc>
                            <w:tcPr>
                              <w:tcW w:w="0" w:type="auto"/>
                              <w:shd w:val="clear" w:color="auto" w:fill="FFFFFF"/>
                              <w:hideMark/>
                            </w:tcPr>
                            <w:p w14:paraId="3D86C207" w14:textId="77777777" w:rsidR="00563987" w:rsidRPr="00563987" w:rsidRDefault="00563987" w:rsidP="00563987">
                              <w:pPr>
                                <w:rPr>
                                  <w:rFonts w:eastAsiaTheme="minorHAnsi"/>
                                </w:rPr>
                              </w:pPr>
                              <w:r w:rsidRPr="00563987">
                                <w:rPr>
                                  <w:rFonts w:eastAsiaTheme="minorHAnsi"/>
                                </w:rPr>
                                <w:t>R</w:t>
                              </w:r>
                            </w:p>
                          </w:tc>
                          <w:tc>
                            <w:tcPr>
                              <w:tcW w:w="0" w:type="auto"/>
                              <w:shd w:val="clear" w:color="auto" w:fill="FFFFFF"/>
                              <w:hideMark/>
                            </w:tcPr>
                            <w:p w14:paraId="75CE63C0" w14:textId="77777777" w:rsidR="00563987" w:rsidRPr="00563987" w:rsidRDefault="00563987" w:rsidP="00563987">
                              <w:pPr>
                                <w:rPr>
                                  <w:rFonts w:eastAsiaTheme="minorHAnsi"/>
                                </w:rPr>
                              </w:pPr>
                              <w:r w:rsidRPr="00563987">
                                <w:rPr>
                                  <w:rFonts w:eastAsiaTheme="minorHAnsi"/>
                                </w:rPr>
                                <w:t>T</w:t>
                              </w:r>
                            </w:p>
                          </w:tc>
                        </w:tr>
                      </w:tbl>
                      <w:p w14:paraId="678530F9" w14:textId="77777777" w:rsidR="00563987" w:rsidRPr="00563987" w:rsidRDefault="00563987" w:rsidP="00563987">
                        <w:pPr>
                          <w:rPr>
                            <w:rFonts w:eastAsiaTheme="minorHAnsi"/>
                          </w:rPr>
                        </w:pPr>
                      </w:p>
                    </w:tc>
                  </w:tr>
                  <w:tr w:rsidR="00563987" w:rsidRPr="00563987" w14:paraId="1E153ACD" w14:textId="77777777">
                    <w:trPr>
                      <w:tblCellSpacing w:w="0" w:type="dxa"/>
                    </w:trPr>
                    <w:tc>
                      <w:tcPr>
                        <w:tcW w:w="0" w:type="auto"/>
                        <w:shd w:val="clear" w:color="auto" w:fill="FFFFFF"/>
                        <w:vAlign w:val="center"/>
                        <w:hideMark/>
                      </w:tcPr>
                      <w:p w14:paraId="5C64B233" w14:textId="77777777" w:rsidR="00563987" w:rsidRPr="00563987" w:rsidRDefault="00563987" w:rsidP="00563987">
                        <w:pPr>
                          <w:rPr>
                            <w:rFonts w:eastAsiaTheme="minorHAnsi"/>
                          </w:rPr>
                        </w:pPr>
                      </w:p>
                    </w:tc>
                  </w:tr>
                </w:tbl>
                <w:p w14:paraId="2F7D9002" w14:textId="77777777" w:rsidR="00563987" w:rsidRPr="00563987" w:rsidRDefault="00563987" w:rsidP="00563987">
                  <w:pPr>
                    <w:rPr>
                      <w:rFonts w:eastAsiaTheme="minorHAnsi"/>
                    </w:rPr>
                  </w:pPr>
                  <w:bookmarkStart w:id="112" w:name="2481720"/>
                  <w:bookmarkEnd w:id="112"/>
                  <w:r w:rsidRPr="00563987">
                    <w:rPr>
                      <w:rFonts w:eastAsiaTheme="minorHAnsi"/>
                    </w:rPr>
                    <w:t>where R = reference and T = treatment.</w:t>
                  </w:r>
                </w:p>
                <w:p w14:paraId="7F0A65C7" w14:textId="77777777" w:rsidR="00563987" w:rsidRPr="00563987" w:rsidRDefault="00563987" w:rsidP="00563987">
                  <w:pPr>
                    <w:rPr>
                      <w:rFonts w:eastAsiaTheme="minorHAnsi"/>
                    </w:rPr>
                  </w:pPr>
                  <w:bookmarkStart w:id="113" w:name="2481721"/>
                  <w:bookmarkEnd w:id="113"/>
                  <w:r w:rsidRPr="00563987">
                    <w:rPr>
                      <w:rFonts w:eastAsiaTheme="minorHAnsi"/>
                    </w:rPr>
                    <w:t>shows a design for three different drug treatment groups given in a three-period study with six different sequences. The order in which the drug treatments are given should not stay the same in order to prevent any bias in the data due to a residual effect from the previous treatment.</w:t>
                  </w:r>
                </w:p>
                <w:p w14:paraId="4CEF8751" w14:textId="77777777" w:rsidR="00563987" w:rsidRPr="00563987" w:rsidRDefault="00563987" w:rsidP="00563987">
                  <w:pPr>
                    <w:rPr>
                      <w:rFonts w:eastAsiaTheme="minorHAnsi"/>
                    </w:rPr>
                  </w:pPr>
                  <w:bookmarkStart w:id="114" w:name="2481722"/>
                  <w:bookmarkEnd w:id="114"/>
                  <w:r w:rsidRPr="00563987">
                    <w:rPr>
                      <w:rFonts w:eastAsiaTheme="minorHAnsi"/>
                    </w:rPr>
                    <w:t>Replicated Crossover Design</w:t>
                  </w:r>
                </w:p>
                <w:p w14:paraId="1C270A5E" w14:textId="77777777" w:rsidR="00563987" w:rsidRPr="00563987" w:rsidRDefault="00563987" w:rsidP="00563987">
                  <w:pPr>
                    <w:rPr>
                      <w:rFonts w:eastAsiaTheme="minorHAnsi"/>
                    </w:rPr>
                  </w:pPr>
                  <w:bookmarkStart w:id="115" w:name="2481723"/>
                  <w:bookmarkEnd w:id="115"/>
                  <w:r w:rsidRPr="00563987">
                    <w:rPr>
                      <w:rFonts w:eastAsiaTheme="minorHAnsi"/>
                    </w:rPr>
                    <w:t xml:space="preserve">Replicated crossover designs are used for the determination of individual bioequivalence, to estimate within-subject variance for both the Test and Reference drug products, and to provide an estimate of the subject-by-formulation interaction variance. Generally, a four-period, two-sequence, two-formulation design is recommended by the FDA.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45"/>
                  </w:tblGrid>
                  <w:tr w:rsidR="00563987" w:rsidRPr="00563987" w14:paraId="5145989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266"/>
                          <w:gridCol w:w="893"/>
                          <w:gridCol w:w="893"/>
                          <w:gridCol w:w="893"/>
                          <w:gridCol w:w="900"/>
                        </w:tblGrid>
                        <w:tr w:rsidR="00563987" w:rsidRPr="00563987" w14:paraId="13F31B37" w14:textId="77777777">
                          <w:trPr>
                            <w:tblHeader/>
                            <w:tblCellSpacing w:w="7" w:type="dxa"/>
                          </w:trPr>
                          <w:tc>
                            <w:tcPr>
                              <w:tcW w:w="0" w:type="auto"/>
                              <w:shd w:val="clear" w:color="auto" w:fill="FFFFFF"/>
                              <w:hideMark/>
                            </w:tcPr>
                            <w:p w14:paraId="20C566C2"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5003D334" w14:textId="77777777" w:rsidR="00563987" w:rsidRPr="00563987" w:rsidRDefault="00563987" w:rsidP="00563987">
                              <w:pPr>
                                <w:rPr>
                                  <w:rFonts w:eastAsiaTheme="minorHAnsi"/>
                                  <w:b/>
                                  <w:bCs/>
                                </w:rPr>
                              </w:pPr>
                              <w:r w:rsidRPr="00563987">
                                <w:rPr>
                                  <w:rFonts w:eastAsiaTheme="minorHAnsi"/>
                                  <w:b/>
                                  <w:bCs/>
                                </w:rPr>
                                <w:t>Period 1</w:t>
                              </w:r>
                            </w:p>
                          </w:tc>
                          <w:tc>
                            <w:tcPr>
                              <w:tcW w:w="0" w:type="auto"/>
                              <w:shd w:val="clear" w:color="auto" w:fill="FFFFFF"/>
                              <w:hideMark/>
                            </w:tcPr>
                            <w:p w14:paraId="3DCA4A9B" w14:textId="77777777" w:rsidR="00563987" w:rsidRPr="00563987" w:rsidRDefault="00563987" w:rsidP="00563987">
                              <w:pPr>
                                <w:rPr>
                                  <w:rFonts w:eastAsiaTheme="minorHAnsi"/>
                                  <w:b/>
                                  <w:bCs/>
                                </w:rPr>
                              </w:pPr>
                              <w:r w:rsidRPr="00563987">
                                <w:rPr>
                                  <w:rFonts w:eastAsiaTheme="minorHAnsi"/>
                                  <w:b/>
                                  <w:bCs/>
                                </w:rPr>
                                <w:t>Period 2</w:t>
                              </w:r>
                            </w:p>
                          </w:tc>
                          <w:tc>
                            <w:tcPr>
                              <w:tcW w:w="0" w:type="auto"/>
                              <w:shd w:val="clear" w:color="auto" w:fill="FFFFFF"/>
                              <w:hideMark/>
                            </w:tcPr>
                            <w:p w14:paraId="149CF88C" w14:textId="77777777" w:rsidR="00563987" w:rsidRPr="00563987" w:rsidRDefault="00563987" w:rsidP="00563987">
                              <w:pPr>
                                <w:rPr>
                                  <w:rFonts w:eastAsiaTheme="minorHAnsi"/>
                                  <w:b/>
                                  <w:bCs/>
                                </w:rPr>
                              </w:pPr>
                              <w:r w:rsidRPr="00563987">
                                <w:rPr>
                                  <w:rFonts w:eastAsiaTheme="minorHAnsi"/>
                                  <w:b/>
                                  <w:bCs/>
                                </w:rPr>
                                <w:t>Period 3</w:t>
                              </w:r>
                            </w:p>
                          </w:tc>
                          <w:tc>
                            <w:tcPr>
                              <w:tcW w:w="0" w:type="auto"/>
                              <w:shd w:val="clear" w:color="auto" w:fill="FFFFFF"/>
                              <w:hideMark/>
                            </w:tcPr>
                            <w:p w14:paraId="64F7DD56" w14:textId="77777777" w:rsidR="00563987" w:rsidRPr="00563987" w:rsidRDefault="00563987" w:rsidP="00563987">
                              <w:pPr>
                                <w:rPr>
                                  <w:rFonts w:eastAsiaTheme="minorHAnsi"/>
                                  <w:b/>
                                  <w:bCs/>
                                </w:rPr>
                              </w:pPr>
                              <w:r w:rsidRPr="00563987">
                                <w:rPr>
                                  <w:rFonts w:eastAsiaTheme="minorHAnsi"/>
                                  <w:b/>
                                  <w:bCs/>
                                </w:rPr>
                                <w:t>Period 4</w:t>
                              </w:r>
                            </w:p>
                          </w:tc>
                        </w:tr>
                        <w:tr w:rsidR="00563987" w:rsidRPr="00563987" w14:paraId="1090AC0F" w14:textId="77777777">
                          <w:trPr>
                            <w:tblCellSpacing w:w="7" w:type="dxa"/>
                          </w:trPr>
                          <w:tc>
                            <w:tcPr>
                              <w:tcW w:w="0" w:type="auto"/>
                              <w:shd w:val="clear" w:color="auto" w:fill="FFFFFF"/>
                              <w:hideMark/>
                            </w:tcPr>
                            <w:p w14:paraId="7067C0D4" w14:textId="77777777" w:rsidR="00563987" w:rsidRPr="00563987" w:rsidRDefault="00563987" w:rsidP="00563987">
                              <w:pPr>
                                <w:rPr>
                                  <w:rFonts w:eastAsiaTheme="minorHAnsi"/>
                                </w:rPr>
                              </w:pPr>
                              <w:r w:rsidRPr="00563987">
                                <w:rPr>
                                  <w:rFonts w:eastAsiaTheme="minorHAnsi"/>
                                  <w:b/>
                                  <w:bCs/>
                                </w:rPr>
                                <w:t>Sequence 1</w:t>
                              </w:r>
                              <w:r w:rsidRPr="00563987">
                                <w:rPr>
                                  <w:rFonts w:eastAsiaTheme="minorHAnsi"/>
                                </w:rPr>
                                <w:t xml:space="preserve">  </w:t>
                              </w:r>
                            </w:p>
                          </w:tc>
                          <w:tc>
                            <w:tcPr>
                              <w:tcW w:w="0" w:type="auto"/>
                              <w:shd w:val="clear" w:color="auto" w:fill="FFFFFF"/>
                              <w:hideMark/>
                            </w:tcPr>
                            <w:p w14:paraId="575D7987" w14:textId="77777777" w:rsidR="00563987" w:rsidRPr="00563987" w:rsidRDefault="00563987" w:rsidP="00563987">
                              <w:pPr>
                                <w:rPr>
                                  <w:rFonts w:eastAsiaTheme="minorHAnsi"/>
                                </w:rPr>
                              </w:pPr>
                              <w:r w:rsidRPr="00563987">
                                <w:rPr>
                                  <w:rFonts w:eastAsiaTheme="minorHAnsi"/>
                                </w:rPr>
                                <w:t>T</w:t>
                              </w:r>
                            </w:p>
                          </w:tc>
                          <w:tc>
                            <w:tcPr>
                              <w:tcW w:w="0" w:type="auto"/>
                              <w:shd w:val="clear" w:color="auto" w:fill="FFFFFF"/>
                              <w:hideMark/>
                            </w:tcPr>
                            <w:p w14:paraId="380C1B44" w14:textId="77777777" w:rsidR="00563987" w:rsidRPr="00563987" w:rsidRDefault="00563987" w:rsidP="00563987">
                              <w:pPr>
                                <w:rPr>
                                  <w:rFonts w:eastAsiaTheme="minorHAnsi"/>
                                </w:rPr>
                              </w:pPr>
                              <w:r w:rsidRPr="00563987">
                                <w:rPr>
                                  <w:rFonts w:eastAsiaTheme="minorHAnsi"/>
                                </w:rPr>
                                <w:t>R</w:t>
                              </w:r>
                            </w:p>
                          </w:tc>
                          <w:tc>
                            <w:tcPr>
                              <w:tcW w:w="0" w:type="auto"/>
                              <w:shd w:val="clear" w:color="auto" w:fill="FFFFFF"/>
                              <w:hideMark/>
                            </w:tcPr>
                            <w:p w14:paraId="437ED6C5" w14:textId="77777777" w:rsidR="00563987" w:rsidRPr="00563987" w:rsidRDefault="00563987" w:rsidP="00563987">
                              <w:pPr>
                                <w:rPr>
                                  <w:rFonts w:eastAsiaTheme="minorHAnsi"/>
                                </w:rPr>
                              </w:pPr>
                              <w:r w:rsidRPr="00563987">
                                <w:rPr>
                                  <w:rFonts w:eastAsiaTheme="minorHAnsi"/>
                                </w:rPr>
                                <w:t>T</w:t>
                              </w:r>
                            </w:p>
                          </w:tc>
                          <w:tc>
                            <w:tcPr>
                              <w:tcW w:w="0" w:type="auto"/>
                              <w:shd w:val="clear" w:color="auto" w:fill="FFFFFF"/>
                              <w:hideMark/>
                            </w:tcPr>
                            <w:p w14:paraId="74021FF3" w14:textId="77777777" w:rsidR="00563987" w:rsidRPr="00563987" w:rsidRDefault="00563987" w:rsidP="00563987">
                              <w:pPr>
                                <w:rPr>
                                  <w:rFonts w:eastAsiaTheme="minorHAnsi"/>
                                </w:rPr>
                              </w:pPr>
                              <w:r w:rsidRPr="00563987">
                                <w:rPr>
                                  <w:rFonts w:eastAsiaTheme="minorHAnsi"/>
                                </w:rPr>
                                <w:t>R</w:t>
                              </w:r>
                            </w:p>
                          </w:tc>
                        </w:tr>
                        <w:tr w:rsidR="00563987" w:rsidRPr="00563987" w14:paraId="5944A652" w14:textId="77777777">
                          <w:trPr>
                            <w:tblCellSpacing w:w="7" w:type="dxa"/>
                          </w:trPr>
                          <w:tc>
                            <w:tcPr>
                              <w:tcW w:w="0" w:type="auto"/>
                              <w:shd w:val="clear" w:color="auto" w:fill="FFFFFF"/>
                              <w:hideMark/>
                            </w:tcPr>
                            <w:p w14:paraId="19257BD1" w14:textId="77777777" w:rsidR="00563987" w:rsidRPr="00563987" w:rsidRDefault="00563987" w:rsidP="00563987">
                              <w:pPr>
                                <w:rPr>
                                  <w:rFonts w:eastAsiaTheme="minorHAnsi"/>
                                </w:rPr>
                              </w:pPr>
                              <w:r w:rsidRPr="00563987">
                                <w:rPr>
                                  <w:rFonts w:eastAsiaTheme="minorHAnsi"/>
                                  <w:b/>
                                  <w:bCs/>
                                </w:rPr>
                                <w:t>Sequence 2</w:t>
                              </w:r>
                              <w:r w:rsidRPr="00563987">
                                <w:rPr>
                                  <w:rFonts w:eastAsiaTheme="minorHAnsi"/>
                                </w:rPr>
                                <w:t xml:space="preserve">  </w:t>
                              </w:r>
                            </w:p>
                          </w:tc>
                          <w:tc>
                            <w:tcPr>
                              <w:tcW w:w="0" w:type="auto"/>
                              <w:shd w:val="clear" w:color="auto" w:fill="FFFFFF"/>
                              <w:hideMark/>
                            </w:tcPr>
                            <w:p w14:paraId="4E0BB586" w14:textId="77777777" w:rsidR="00563987" w:rsidRPr="00563987" w:rsidRDefault="00563987" w:rsidP="00563987">
                              <w:pPr>
                                <w:rPr>
                                  <w:rFonts w:eastAsiaTheme="minorHAnsi"/>
                                </w:rPr>
                              </w:pPr>
                              <w:r w:rsidRPr="00563987">
                                <w:rPr>
                                  <w:rFonts w:eastAsiaTheme="minorHAnsi"/>
                                </w:rPr>
                                <w:t>R</w:t>
                              </w:r>
                            </w:p>
                          </w:tc>
                          <w:tc>
                            <w:tcPr>
                              <w:tcW w:w="0" w:type="auto"/>
                              <w:shd w:val="clear" w:color="auto" w:fill="FFFFFF"/>
                              <w:hideMark/>
                            </w:tcPr>
                            <w:p w14:paraId="323FC327" w14:textId="77777777" w:rsidR="00563987" w:rsidRPr="00563987" w:rsidRDefault="00563987" w:rsidP="00563987">
                              <w:pPr>
                                <w:rPr>
                                  <w:rFonts w:eastAsiaTheme="minorHAnsi"/>
                                </w:rPr>
                              </w:pPr>
                              <w:r w:rsidRPr="00563987">
                                <w:rPr>
                                  <w:rFonts w:eastAsiaTheme="minorHAnsi"/>
                                </w:rPr>
                                <w:t>T</w:t>
                              </w:r>
                            </w:p>
                          </w:tc>
                          <w:tc>
                            <w:tcPr>
                              <w:tcW w:w="0" w:type="auto"/>
                              <w:shd w:val="clear" w:color="auto" w:fill="FFFFFF"/>
                              <w:hideMark/>
                            </w:tcPr>
                            <w:p w14:paraId="532E711B" w14:textId="77777777" w:rsidR="00563987" w:rsidRPr="00563987" w:rsidRDefault="00563987" w:rsidP="00563987">
                              <w:pPr>
                                <w:rPr>
                                  <w:rFonts w:eastAsiaTheme="minorHAnsi"/>
                                </w:rPr>
                              </w:pPr>
                              <w:r w:rsidRPr="00563987">
                                <w:rPr>
                                  <w:rFonts w:eastAsiaTheme="minorHAnsi"/>
                                </w:rPr>
                                <w:t>R</w:t>
                              </w:r>
                            </w:p>
                          </w:tc>
                          <w:tc>
                            <w:tcPr>
                              <w:tcW w:w="0" w:type="auto"/>
                              <w:shd w:val="clear" w:color="auto" w:fill="FFFFFF"/>
                              <w:hideMark/>
                            </w:tcPr>
                            <w:p w14:paraId="37B5ECA7" w14:textId="77777777" w:rsidR="00563987" w:rsidRPr="00563987" w:rsidRDefault="00563987" w:rsidP="00563987">
                              <w:pPr>
                                <w:rPr>
                                  <w:rFonts w:eastAsiaTheme="minorHAnsi"/>
                                </w:rPr>
                              </w:pPr>
                              <w:r w:rsidRPr="00563987">
                                <w:rPr>
                                  <w:rFonts w:eastAsiaTheme="minorHAnsi"/>
                                </w:rPr>
                                <w:t>T</w:t>
                              </w:r>
                            </w:p>
                          </w:tc>
                        </w:tr>
                      </w:tbl>
                      <w:p w14:paraId="39AD87F5" w14:textId="77777777" w:rsidR="00563987" w:rsidRPr="00563987" w:rsidRDefault="00563987" w:rsidP="00563987">
                        <w:pPr>
                          <w:rPr>
                            <w:rFonts w:eastAsiaTheme="minorHAnsi"/>
                          </w:rPr>
                        </w:pPr>
                      </w:p>
                    </w:tc>
                  </w:tr>
                  <w:tr w:rsidR="00563987" w:rsidRPr="00563987" w14:paraId="01DE982C" w14:textId="77777777">
                    <w:trPr>
                      <w:tblCellSpacing w:w="0" w:type="dxa"/>
                    </w:trPr>
                    <w:tc>
                      <w:tcPr>
                        <w:tcW w:w="0" w:type="auto"/>
                        <w:shd w:val="clear" w:color="auto" w:fill="FFFFFF"/>
                        <w:vAlign w:val="center"/>
                        <w:hideMark/>
                      </w:tcPr>
                      <w:p w14:paraId="75FCE4B3" w14:textId="77777777" w:rsidR="00563987" w:rsidRPr="00563987" w:rsidRDefault="00563987" w:rsidP="00563987">
                        <w:pPr>
                          <w:rPr>
                            <w:rFonts w:eastAsiaTheme="minorHAnsi"/>
                          </w:rPr>
                        </w:pPr>
                      </w:p>
                    </w:tc>
                  </w:tr>
                </w:tbl>
                <w:p w14:paraId="53808E40" w14:textId="77777777" w:rsidR="00563987" w:rsidRPr="00563987" w:rsidRDefault="00563987" w:rsidP="00563987">
                  <w:pPr>
                    <w:rPr>
                      <w:rFonts w:eastAsiaTheme="minorHAnsi"/>
                    </w:rPr>
                  </w:pPr>
                  <w:bookmarkStart w:id="116" w:name="2481724"/>
                  <w:bookmarkEnd w:id="116"/>
                  <w:r w:rsidRPr="00563987">
                    <w:rPr>
                      <w:rFonts w:eastAsiaTheme="minorHAnsi"/>
                    </w:rPr>
                    <w:t>where R = reference and T = treatment.</w:t>
                  </w:r>
                </w:p>
                <w:p w14:paraId="05DE04EC" w14:textId="77777777" w:rsidR="00563987" w:rsidRPr="00563987" w:rsidRDefault="00563987" w:rsidP="00563987">
                  <w:pPr>
                    <w:rPr>
                      <w:rFonts w:eastAsiaTheme="minorHAnsi"/>
                    </w:rPr>
                  </w:pPr>
                  <w:bookmarkStart w:id="117" w:name="2481725"/>
                  <w:bookmarkEnd w:id="117"/>
                  <w:r w:rsidRPr="00563987">
                    <w:rPr>
                      <w:rFonts w:eastAsiaTheme="minorHAnsi"/>
                    </w:rPr>
                    <w:t xml:space="preserve">The same reference and the same test are each given twice to the same subject. Other sequences are possible. In this </w:t>
                  </w:r>
                  <w:r w:rsidRPr="00563987">
                    <w:rPr>
                      <w:rFonts w:eastAsiaTheme="minorHAnsi"/>
                    </w:rPr>
                    <w:lastRenderedPageBreak/>
                    <w:t>design, Reference-to-Reference and Test-to-Test comparisons may also be made.</w:t>
                  </w:r>
                </w:p>
              </w:tc>
            </w:tr>
          </w:tbl>
          <w:p w14:paraId="1F059267" w14:textId="77777777" w:rsidR="00563987" w:rsidRPr="00563987" w:rsidRDefault="00563987" w:rsidP="00563987">
            <w:pPr>
              <w:rPr>
                <w:rFonts w:eastAsiaTheme="minorHAnsi"/>
                <w:vanish/>
              </w:rPr>
            </w:pPr>
            <w:bookmarkStart w:id="118" w:name="2481726"/>
            <w:bookmarkEnd w:id="118"/>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29CE0799" w14:textId="77777777">
              <w:trPr>
                <w:tblCellSpacing w:w="0" w:type="dxa"/>
              </w:trPr>
              <w:tc>
                <w:tcPr>
                  <w:tcW w:w="0" w:type="auto"/>
                  <w:shd w:val="clear" w:color="auto" w:fill="FFFFFF"/>
                  <w:hideMark/>
                </w:tcPr>
                <w:p w14:paraId="33CE3D9B" w14:textId="77777777" w:rsidR="00563987" w:rsidRPr="00563987" w:rsidRDefault="00563987" w:rsidP="00563987">
                  <w:pPr>
                    <w:rPr>
                      <w:rFonts w:eastAsiaTheme="minorHAnsi"/>
                    </w:rPr>
                  </w:pPr>
                  <w:r w:rsidRPr="00563987">
                    <w:rPr>
                      <w:rFonts w:eastAsiaTheme="minorHAnsi"/>
                    </w:rPr>
                    <w:t>Evaluation of the Data</w:t>
                  </w:r>
                </w:p>
                <w:p w14:paraId="0A1E2207" w14:textId="77777777" w:rsidR="00563987" w:rsidRPr="00563987" w:rsidRDefault="00563987" w:rsidP="00563987">
                  <w:pPr>
                    <w:rPr>
                      <w:rFonts w:eastAsiaTheme="minorHAnsi"/>
                    </w:rPr>
                  </w:pPr>
                  <w:bookmarkStart w:id="119" w:name="2481727"/>
                  <w:bookmarkEnd w:id="119"/>
                  <w:r w:rsidRPr="00563987">
                    <w:rPr>
                      <w:rFonts w:eastAsiaTheme="minorHAnsi"/>
                    </w:rPr>
                    <w:t>Analytical Method</w:t>
                  </w:r>
                </w:p>
                <w:p w14:paraId="410C1B4B" w14:textId="77777777" w:rsidR="00563987" w:rsidRPr="00563987" w:rsidRDefault="00563987" w:rsidP="00563987">
                  <w:pPr>
                    <w:rPr>
                      <w:rFonts w:eastAsiaTheme="minorHAnsi"/>
                    </w:rPr>
                  </w:pPr>
                  <w:bookmarkStart w:id="120" w:name="2481728"/>
                  <w:bookmarkEnd w:id="120"/>
                  <w:r w:rsidRPr="00563987">
                    <w:rPr>
                      <w:rFonts w:eastAsiaTheme="minorHAnsi"/>
                    </w:rPr>
                    <w:t xml:space="preserve">The analytical method for measurement of the drug must be validated for accuracy, precision, sensitivity, and specificity. The use of more than one analytical method during a bioequivalence study may not be valid, because different methods may yield different values. Data should be presented in both tabulated and graphic form for evaluation. The plasma drug concentration–time curve for each drug product and each subject should be available. </w:t>
                  </w:r>
                </w:p>
                <w:p w14:paraId="087FE14B" w14:textId="77777777" w:rsidR="00563987" w:rsidRPr="00563987" w:rsidRDefault="00563987" w:rsidP="00563987">
                  <w:pPr>
                    <w:rPr>
                      <w:rFonts w:eastAsiaTheme="minorHAnsi"/>
                    </w:rPr>
                  </w:pPr>
                  <w:bookmarkStart w:id="121" w:name="2481729"/>
                  <w:bookmarkEnd w:id="121"/>
                  <w:r w:rsidRPr="00563987">
                    <w:rPr>
                      <w:rFonts w:eastAsiaTheme="minorHAnsi"/>
                    </w:rPr>
                    <w:t xml:space="preserve">Pharmacokinetic Evaluation of the Data </w:t>
                  </w:r>
                </w:p>
                <w:p w14:paraId="2CF2B3F1" w14:textId="77777777" w:rsidR="00563987" w:rsidRPr="00563987" w:rsidRDefault="00563987" w:rsidP="00563987">
                  <w:pPr>
                    <w:rPr>
                      <w:rFonts w:eastAsiaTheme="minorHAnsi"/>
                    </w:rPr>
                  </w:pPr>
                  <w:bookmarkStart w:id="122" w:name="2481730"/>
                  <w:bookmarkEnd w:id="122"/>
                  <w:r w:rsidRPr="00563987">
                    <w:rPr>
                      <w:rFonts w:eastAsiaTheme="minorHAnsi"/>
                    </w:rPr>
                    <w:t>For single-dose studies, including a fasting study or a food intervention study, the pharmacokinetic analyses include calculation for each subject of the area under the curve to the last quantifiable concentration (AUC</w:t>
                  </w:r>
                  <w:r w:rsidRPr="00563987">
                    <w:rPr>
                      <w:rFonts w:eastAsiaTheme="minorHAnsi"/>
                      <w:vertAlign w:val="subscript"/>
                    </w:rPr>
                    <w:t>0–t</w:t>
                  </w:r>
                  <w:r w:rsidRPr="00563987">
                    <w:rPr>
                      <w:rFonts w:eastAsiaTheme="minorHAnsi"/>
                    </w:rPr>
                    <w:t>) and to infinity (AUC</w:t>
                  </w:r>
                  <w:r w:rsidRPr="00563987">
                    <w:rPr>
                      <w:rFonts w:eastAsiaTheme="minorHAnsi"/>
                      <w:vertAlign w:val="subscript"/>
                    </w:rPr>
                    <w:t>0–∞</w:t>
                  </w:r>
                  <w:r w:rsidRPr="00563987">
                    <w:rPr>
                      <w:rFonts w:eastAsiaTheme="minorHAnsi"/>
                    </w:rPr>
                    <w:t xml:space="preserv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Additionally, the elimination rate constant, </w:t>
                  </w:r>
                  <w:r w:rsidRPr="00563987">
                    <w:rPr>
                      <w:rFonts w:eastAsiaTheme="minorHAnsi"/>
                      <w:i/>
                      <w:iCs/>
                    </w:rPr>
                    <w:t>k</w:t>
                  </w:r>
                  <w:r w:rsidRPr="00563987">
                    <w:rPr>
                      <w:rFonts w:eastAsiaTheme="minorHAnsi"/>
                    </w:rPr>
                    <w:t xml:space="preserve">, the elimination half-life, </w:t>
                  </w: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and other parameters may be estimated. For multiple-dose studies, pharmacokinetic analysis includes calculation for each subject of the steady-state area under the curve, (AUC</w:t>
                  </w:r>
                  <w:r w:rsidRPr="00563987">
                    <w:rPr>
                      <w:rFonts w:eastAsiaTheme="minorHAnsi"/>
                      <w:vertAlign w:val="subscript"/>
                    </w:rPr>
                    <w:t>0–t</w:t>
                  </w:r>
                  <w:r w:rsidRPr="00563987">
                    <w:rPr>
                      <w:rFonts w:eastAsiaTheme="minorHAnsi"/>
                    </w:rPr>
                    <w:t xml:space="preserv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min</w:t>
                  </w:r>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and the percent fluctuation [100 x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 </w:t>
                  </w:r>
                  <w:r w:rsidRPr="00563987">
                    <w:rPr>
                      <w:rFonts w:eastAsiaTheme="minorHAnsi"/>
                      <w:i/>
                      <w:iCs/>
                    </w:rPr>
                    <w:t>C</w:t>
                  </w:r>
                  <w:r w:rsidRPr="00563987">
                    <w:rPr>
                      <w:rFonts w:eastAsiaTheme="minorHAnsi"/>
                    </w:rPr>
                    <w:t xml:space="preserve"> </w:t>
                  </w:r>
                  <w:r w:rsidRPr="00563987">
                    <w:rPr>
                      <w:rFonts w:eastAsiaTheme="minorHAnsi"/>
                      <w:vertAlign w:val="subscript"/>
                    </w:rPr>
                    <w:t>min</w:t>
                  </w:r>
                  <w:r w:rsidRPr="00563987">
                    <w:rPr>
                      <w:rFonts w:eastAsiaTheme="minorHAnsi"/>
                    </w:rPr>
                    <w:t>)/</w:t>
                  </w:r>
                  <w:r w:rsidRPr="00563987">
                    <w:rPr>
                      <w:rFonts w:eastAsiaTheme="minorHAnsi"/>
                      <w:i/>
                      <w:iCs/>
                    </w:rPr>
                    <w:t>C</w:t>
                  </w:r>
                  <w:r w:rsidRPr="00563987">
                    <w:rPr>
                      <w:rFonts w:eastAsiaTheme="minorHAnsi"/>
                    </w:rPr>
                    <w:t xml:space="preserve"> </w:t>
                  </w:r>
                  <w:r w:rsidRPr="00563987">
                    <w:rPr>
                      <w:rFonts w:eastAsiaTheme="minorHAnsi"/>
                      <w:vertAlign w:val="subscript"/>
                    </w:rPr>
                    <w:t>min</w:t>
                  </w:r>
                  <w:r w:rsidRPr="00563987">
                    <w:rPr>
                      <w:rFonts w:eastAsiaTheme="minorHAnsi"/>
                    </w:rPr>
                    <w:t xml:space="preserve">]. Proper statistical evaluation should be performed on the estimated pharmacokinetic parameters. </w:t>
                  </w:r>
                </w:p>
                <w:p w14:paraId="75EDF924" w14:textId="77777777" w:rsidR="00563987" w:rsidRPr="00563987" w:rsidRDefault="00563987" w:rsidP="00563987">
                  <w:pPr>
                    <w:rPr>
                      <w:rFonts w:eastAsiaTheme="minorHAnsi"/>
                    </w:rPr>
                  </w:pPr>
                  <w:bookmarkStart w:id="123" w:name="2481731"/>
                  <w:bookmarkEnd w:id="123"/>
                  <w:r w:rsidRPr="00563987">
                    <w:rPr>
                      <w:rFonts w:eastAsiaTheme="minorHAnsi"/>
                    </w:rPr>
                    <w:t>Statistical Evaluation of the Data</w:t>
                  </w:r>
                </w:p>
                <w:p w14:paraId="457BDD0E" w14:textId="77777777" w:rsidR="00563987" w:rsidRPr="00563987" w:rsidRDefault="00563987" w:rsidP="00563987">
                  <w:pPr>
                    <w:rPr>
                      <w:rFonts w:eastAsiaTheme="minorHAnsi"/>
                    </w:rPr>
                  </w:pPr>
                  <w:bookmarkStart w:id="124" w:name="2481732"/>
                  <w:bookmarkEnd w:id="124"/>
                  <w:r w:rsidRPr="00563987">
                    <w:rPr>
                      <w:rFonts w:eastAsiaTheme="minorHAnsi"/>
                    </w:rPr>
                    <w:t xml:space="preserve">Bioequivalence is generally determined using a comparison of population averages of a bioequivalence metric, such as AUC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This approach, termed </w:t>
                  </w:r>
                  <w:r w:rsidRPr="00563987">
                    <w:rPr>
                      <w:rFonts w:eastAsiaTheme="minorHAnsi"/>
                      <w:i/>
                      <w:iCs/>
                    </w:rPr>
                    <w:t>average bioequivalence,</w:t>
                  </w:r>
                  <w:r w:rsidRPr="00563987">
                    <w:rPr>
                      <w:rFonts w:eastAsiaTheme="minorHAnsi"/>
                    </w:rPr>
                    <w:t xml:space="preserve"> involves the calculation of a 90% confidence interval for the ratio of averages (population geometric means) of the bioequivalence metrics for the Test and Reference drug products. To establish bioequivalence, the calculated confidence interval should fall within a prescribed bioequivalence limit, usually, 80–125% for the ratio of the product averages. Standard crossover design studies are used to obtain the data. Another approach proposed by the FDA and others is termed </w:t>
                  </w:r>
                  <w:r w:rsidRPr="00563987">
                    <w:rPr>
                      <w:rFonts w:eastAsiaTheme="minorHAnsi"/>
                      <w:i/>
                      <w:iCs/>
                    </w:rPr>
                    <w:t>individual bioequivalence</w:t>
                  </w:r>
                  <w:r w:rsidRPr="00563987">
                    <w:rPr>
                      <w:rFonts w:eastAsiaTheme="minorHAnsi"/>
                    </w:rPr>
                    <w:t>. Individual bioequivalence requires a replicate crossover design, and estimates within-subject variability for the Test and Reference drug products, as well as subject-by-formulation interaction. Presently, only average bioequivalence estimates are used to establish bioequivalence of generic drug products.</w:t>
                  </w:r>
                </w:p>
                <w:p w14:paraId="3BDC290B" w14:textId="77777777" w:rsidR="00563987" w:rsidRPr="00563987" w:rsidRDefault="00563987" w:rsidP="00563987">
                  <w:pPr>
                    <w:rPr>
                      <w:rFonts w:eastAsiaTheme="minorHAnsi"/>
                    </w:rPr>
                  </w:pPr>
                  <w:bookmarkStart w:id="125" w:name="2481733"/>
                  <w:bookmarkEnd w:id="125"/>
                  <w:r w:rsidRPr="00563987">
                    <w:rPr>
                      <w:rFonts w:eastAsiaTheme="minorHAnsi"/>
                    </w:rPr>
                    <w:t xml:space="preserve">To prove bioequivalence, there must be no statistical difference between the bioavailability of the Test product and the Reference product. Several statistical approaches are used to compare the bioavailability of drug from the test dosage form to the bioavailability of the drug from the reference dosage form. Many statistical approaches (parametric tests) assume that the data are distributed according to a normal distribution or "bell-shaped curve" (see ). The distribution of many biological parameters such as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AUC have a longer right tail than would be observed in a normal distribution (). Moreover, the true distribution of these biological parameters may be difficult to ascertain because of the small number of subjects used in a bioequivalence study. The distribution of data that has been transformed to log values resembles more closely a normal distribution compared to the distribution of non-log-transformed data. Therefore, log transformation of the bioavailability data (</w:t>
                  </w:r>
                  <w:proofErr w:type="spellStart"/>
                  <w:r w:rsidRPr="00563987">
                    <w:rPr>
                      <w:rFonts w:eastAsiaTheme="minorHAnsi"/>
                    </w:rPr>
                    <w:t>eg</w:t>
                  </w:r>
                  <w:proofErr w:type="spellEnd"/>
                  <w:r w:rsidRPr="00563987">
                    <w:rPr>
                      <w:rFonts w:eastAsiaTheme="minorHAnsi"/>
                    </w:rPr>
                    <w:t xml:space="preserv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AUC) is performed before statistical data evaluation for bioequivalence determination.</w:t>
                  </w:r>
                </w:p>
                <w:p w14:paraId="081F655D" w14:textId="77777777" w:rsidR="00563987" w:rsidRPr="00563987" w:rsidRDefault="00563987" w:rsidP="00563987">
                  <w:pPr>
                    <w:rPr>
                      <w:rFonts w:eastAsiaTheme="minorHAnsi"/>
                    </w:rPr>
                  </w:pPr>
                  <w:bookmarkStart w:id="126" w:name="2481734"/>
                  <w:bookmarkEnd w:id="126"/>
                  <w:r w:rsidRPr="00563987">
                    <w:rPr>
                      <w:rFonts w:eastAsiaTheme="minorHAnsi"/>
                    </w:rPr>
                    <w:t>Analysis of Variance (ANOVA)</w:t>
                  </w:r>
                </w:p>
                <w:p w14:paraId="37805682" w14:textId="77777777" w:rsidR="00563987" w:rsidRPr="00563987" w:rsidRDefault="00563987" w:rsidP="00563987">
                  <w:pPr>
                    <w:rPr>
                      <w:rFonts w:eastAsiaTheme="minorHAnsi"/>
                    </w:rPr>
                  </w:pPr>
                  <w:bookmarkStart w:id="127" w:name="2481735"/>
                  <w:bookmarkEnd w:id="127"/>
                  <w:r w:rsidRPr="00563987">
                    <w:rPr>
                      <w:rFonts w:eastAsiaTheme="minorHAnsi"/>
                    </w:rPr>
                    <w:t>An analysis of variance (ANOVA) is a statistical procedure () used to test the data for differences within and between treatment and control groups. A bioequivalent product should produce no significant difference in all pharmacokinetic parameters tested. The parameters tested usually include AUC</w:t>
                  </w:r>
                  <w:r w:rsidRPr="00563987">
                    <w:rPr>
                      <w:rFonts w:eastAsiaTheme="minorHAnsi"/>
                      <w:vertAlign w:val="subscript"/>
                    </w:rPr>
                    <w:t>0–t</w:t>
                  </w:r>
                  <w:r w:rsidRPr="00563987">
                    <w:rPr>
                      <w:rFonts w:eastAsiaTheme="minorHAnsi"/>
                    </w:rPr>
                    <w:t>, AUC</w:t>
                  </w:r>
                  <w:r w:rsidRPr="00563987">
                    <w:rPr>
                      <w:rFonts w:eastAsiaTheme="minorHAnsi"/>
                      <w:vertAlign w:val="subscript"/>
                    </w:rPr>
                    <w:t>0–∞</w:t>
                  </w:r>
                  <w:r w:rsidRPr="00563987">
                    <w:rPr>
                      <w:rFonts w:eastAsiaTheme="minorHAnsi"/>
                    </w:rPr>
                    <w:t xml:space="preserv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obtained for each treatment or dosage form. Other metrics of bioavailability have also been used to compare the bioequivalence of two or more formulations. The ANOVA may evaluate variability in subjects, treatment groups, study period, formulation, and other variables, depending on the study design. If the variability in the data is large, the difference in means for each pharmacokinetic parameter, such as AUC, may be masked, and the investigator might erroneously conclude that the two drug products are bioequivalent.</w:t>
                  </w:r>
                </w:p>
                <w:p w14:paraId="51839C22" w14:textId="78088C45" w:rsidR="00563987" w:rsidRPr="00563987" w:rsidRDefault="00563987" w:rsidP="00563987">
                  <w:pPr>
                    <w:rPr>
                      <w:rFonts w:eastAsiaTheme="minorHAnsi"/>
                    </w:rPr>
                  </w:pPr>
                  <w:bookmarkStart w:id="128" w:name="2481736"/>
                  <w:bookmarkEnd w:id="128"/>
                  <w:r w:rsidRPr="00563987">
                    <w:rPr>
                      <w:rFonts w:eastAsiaTheme="minorHAnsi"/>
                    </w:rPr>
                    <w:t>A statistical difference between the pharmacokinetic parameters obtained from two or more drug products is considered statistically significant if there is a probability of less than 1 in 20 times or 0.05 probability (</w:t>
                  </w:r>
                  <w:r w:rsidRPr="00563987">
                    <w:rPr>
                      <w:rFonts w:eastAsiaTheme="minorHAnsi"/>
                      <w:i/>
                      <w:iCs/>
                    </w:rPr>
                    <w:t xml:space="preserve">p </w:t>
                  </w:r>
                  <w:r w:rsidRPr="00563987">
                    <w:rPr>
                      <w:rFonts w:eastAsiaTheme="minorHAnsi"/>
                      <w:noProof/>
                    </w:rPr>
                    <mc:AlternateContent>
                      <mc:Choice Requires="wps">
                        <w:drawing>
                          <wp:inline distT="0" distB="0" distL="0" distR="0" wp14:anchorId="37418E61" wp14:editId="544F0F3D">
                            <wp:extent cx="304800" cy="304800"/>
                            <wp:effectExtent l="0" t="0" r="0" b="0"/>
                            <wp:docPr id="2098242404"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7824B" id="Rectangle 1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xml:space="preserve">0.05) that these results would have happened on the basis of chance alone. The probability, </w:t>
                  </w:r>
                  <w:r w:rsidRPr="00563987">
                    <w:rPr>
                      <w:rFonts w:eastAsiaTheme="minorHAnsi"/>
                      <w:i/>
                      <w:iCs/>
                    </w:rPr>
                    <w:t>p</w:t>
                  </w:r>
                  <w:r w:rsidRPr="00563987">
                    <w:rPr>
                      <w:rFonts w:eastAsiaTheme="minorHAnsi"/>
                    </w:rPr>
                    <w:t xml:space="preserve">, is used to indicate the level of statistical significance. If </w:t>
                  </w:r>
                  <w:r w:rsidRPr="00563987">
                    <w:rPr>
                      <w:rFonts w:eastAsiaTheme="minorHAnsi"/>
                      <w:i/>
                      <w:iCs/>
                    </w:rPr>
                    <w:t xml:space="preserve">p </w:t>
                  </w:r>
                  <w:r w:rsidRPr="00563987">
                    <w:rPr>
                      <w:rFonts w:eastAsiaTheme="minorHAnsi"/>
                    </w:rPr>
                    <w:t>&lt; 0.05, the differences between the two drug products are not considered statistically significant.</w:t>
                  </w:r>
                </w:p>
                <w:p w14:paraId="41099533" w14:textId="451E92F9" w:rsidR="00563987" w:rsidRPr="00563987" w:rsidRDefault="00563987" w:rsidP="00563987">
                  <w:pPr>
                    <w:rPr>
                      <w:rFonts w:eastAsiaTheme="minorHAnsi"/>
                    </w:rPr>
                  </w:pPr>
                  <w:bookmarkStart w:id="129" w:name="2481737"/>
                  <w:bookmarkEnd w:id="129"/>
                  <w:r w:rsidRPr="00563987">
                    <w:rPr>
                      <w:rFonts w:eastAsiaTheme="minorHAnsi"/>
                    </w:rPr>
                    <w:t xml:space="preserve">To reduce the possibility of failing to detect small differences between the test products, a </w:t>
                  </w:r>
                  <w:r w:rsidRPr="00563987">
                    <w:rPr>
                      <w:rFonts w:eastAsiaTheme="minorHAnsi"/>
                      <w:i/>
                      <w:iCs/>
                    </w:rPr>
                    <w:t>power test</w:t>
                  </w:r>
                  <w:r w:rsidRPr="00563987">
                    <w:rPr>
                      <w:rFonts w:eastAsiaTheme="minorHAnsi"/>
                    </w:rPr>
                    <w:t xml:space="preserve"> is performed to calculate the probability that the conclusion of the ANOVA is valid. The power of the test will depend on the sample size, variability of the data, and desired level of significance. Usually the power is set at 0.80 with a </w:t>
                  </w:r>
                  <w:r w:rsidRPr="00563987">
                    <w:rPr>
                      <w:rFonts w:eastAsiaTheme="minorHAnsi"/>
                      <w:noProof/>
                    </w:rPr>
                    <mc:AlternateContent>
                      <mc:Choice Requires="wps">
                        <w:drawing>
                          <wp:inline distT="0" distB="0" distL="0" distR="0" wp14:anchorId="68FFEDC3" wp14:editId="2F1B4B25">
                            <wp:extent cx="304800" cy="304800"/>
                            <wp:effectExtent l="0" t="0" r="0" b="0"/>
                            <wp:docPr id="573951675"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31A09" id="Rectangle 1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 0.2 and a level of significance of 0.05. The higher the power, the more sensitive the test and the greater the probability that the conclusion of the ANOVA is valid.</w:t>
                  </w:r>
                </w:p>
                <w:p w14:paraId="27AD9EFE" w14:textId="77777777" w:rsidR="00563987" w:rsidRPr="00563987" w:rsidRDefault="00563987" w:rsidP="00563987">
                  <w:pPr>
                    <w:rPr>
                      <w:rFonts w:eastAsiaTheme="minorHAnsi"/>
                    </w:rPr>
                  </w:pPr>
                  <w:bookmarkStart w:id="130" w:name="2481738"/>
                  <w:bookmarkEnd w:id="130"/>
                  <w:r w:rsidRPr="00563987">
                    <w:rPr>
                      <w:rFonts w:eastAsiaTheme="minorHAnsi"/>
                    </w:rPr>
                    <w:t>Two One-Sided Tests Procedure</w:t>
                  </w:r>
                </w:p>
                <w:p w14:paraId="4AB94B77" w14:textId="77777777" w:rsidR="00563987" w:rsidRPr="00563987" w:rsidRDefault="00563987" w:rsidP="00563987">
                  <w:pPr>
                    <w:rPr>
                      <w:rFonts w:eastAsiaTheme="minorHAnsi"/>
                    </w:rPr>
                  </w:pPr>
                  <w:bookmarkStart w:id="131" w:name="2481739"/>
                  <w:bookmarkEnd w:id="131"/>
                  <w:r w:rsidRPr="00563987">
                    <w:rPr>
                      <w:rFonts w:eastAsiaTheme="minorHAnsi"/>
                    </w:rPr>
                    <w:t xml:space="preserve">The two one-sided tests procedure is also referred to as the </w:t>
                  </w:r>
                  <w:r w:rsidRPr="00563987">
                    <w:rPr>
                      <w:rFonts w:eastAsiaTheme="minorHAnsi"/>
                      <w:i/>
                      <w:iCs/>
                    </w:rPr>
                    <w:t>confidence interval approach</w:t>
                  </w:r>
                  <w:r w:rsidRPr="00563987">
                    <w:rPr>
                      <w:rFonts w:eastAsiaTheme="minorHAnsi"/>
                    </w:rPr>
                    <w:t xml:space="preserve"> (). This statistical method is used to demonstrate if the bioavailability of the drug from the Test formulation is too low or high in comparison to that of the Reference product. The objective of the approach is to determine if there are large differences (</w:t>
                  </w:r>
                  <w:proofErr w:type="spellStart"/>
                  <w:r w:rsidRPr="00563987">
                    <w:rPr>
                      <w:rFonts w:eastAsiaTheme="minorHAnsi"/>
                    </w:rPr>
                    <w:t>ie</w:t>
                  </w:r>
                  <w:proofErr w:type="spellEnd"/>
                  <w:r w:rsidRPr="00563987">
                    <w:rPr>
                      <w:rFonts w:eastAsiaTheme="minorHAnsi"/>
                    </w:rPr>
                    <w:t xml:space="preserve">, greater </w:t>
                  </w:r>
                  <w:r w:rsidRPr="00563987">
                    <w:rPr>
                      <w:rFonts w:eastAsiaTheme="minorHAnsi"/>
                    </w:rPr>
                    <w:lastRenderedPageBreak/>
                    <w:t>than 20%) between the mean parameters.</w:t>
                  </w:r>
                </w:p>
                <w:p w14:paraId="4191023A" w14:textId="77777777" w:rsidR="00563987" w:rsidRPr="00563987" w:rsidRDefault="00563987" w:rsidP="00563987">
                  <w:pPr>
                    <w:rPr>
                      <w:rFonts w:eastAsiaTheme="minorHAnsi"/>
                    </w:rPr>
                  </w:pPr>
                  <w:bookmarkStart w:id="132" w:name="2481740"/>
                  <w:bookmarkEnd w:id="132"/>
                  <w:r w:rsidRPr="00563987">
                    <w:rPr>
                      <w:rFonts w:eastAsiaTheme="minorHAnsi"/>
                    </w:rPr>
                    <w:t xml:space="preserve">The 90% confidence limits are estimated for the sample means. The interval estimate is based on a Student's </w:t>
                  </w:r>
                  <w:r w:rsidRPr="00563987">
                    <w:rPr>
                      <w:rFonts w:eastAsiaTheme="minorHAnsi"/>
                      <w:i/>
                      <w:iCs/>
                    </w:rPr>
                    <w:t>t</w:t>
                  </w:r>
                  <w:r w:rsidRPr="00563987">
                    <w:rPr>
                      <w:rFonts w:eastAsiaTheme="minorHAnsi"/>
                    </w:rPr>
                    <w:t xml:space="preserve"> distribution of the data. In this test, presently required by the FDA, a 90% confidence interval about the ratio of means of the two drug products must be within ±20% for measurement of the rate and extent of drug bioavailability. For most drugs, up to a 20% difference in AUC or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between two formulations would have no clinical significance. The lower 90% confidence interval for the ratio of means cannot be less than 0.80, and the upper 90% confidence interval for the ratio of the means cannot be greater than 1.20. When log-transformed data are used, the 90% confidence interval is set at 80–125%. These confidence limits have also been termed the </w:t>
                  </w:r>
                  <w:r w:rsidRPr="00563987">
                    <w:rPr>
                      <w:rFonts w:eastAsiaTheme="minorHAnsi"/>
                      <w:i/>
                      <w:iCs/>
                    </w:rPr>
                    <w:t>bioequivalence interval</w:t>
                  </w:r>
                  <w:r w:rsidRPr="00563987">
                    <w:rPr>
                      <w:rFonts w:eastAsiaTheme="minorHAnsi"/>
                    </w:rPr>
                    <w:t xml:space="preserve"> (). The 90% confidence interval is a function of sample size and study variability, including inter- and intrasubject variability.</w:t>
                  </w:r>
                </w:p>
                <w:p w14:paraId="730F376B" w14:textId="77777777" w:rsidR="00563987" w:rsidRPr="00563987" w:rsidRDefault="00563987" w:rsidP="00563987">
                  <w:pPr>
                    <w:rPr>
                      <w:rFonts w:eastAsiaTheme="minorHAnsi"/>
                    </w:rPr>
                  </w:pPr>
                  <w:bookmarkStart w:id="133" w:name="2481741"/>
                  <w:bookmarkEnd w:id="133"/>
                  <w:r w:rsidRPr="00563987">
                    <w:rPr>
                      <w:rFonts w:eastAsiaTheme="minorHAnsi"/>
                    </w:rPr>
                    <w:t xml:space="preserve">For a single-dose, fasting study, an analysis of variance (ANOVA) is usually performed on the log-transformed AUC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values. There should be no statistical differences between the mean AUC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parameters for the Test (generic) and Reference drug products. In addition, the 90% confidence intervals about the ratio of the means for AUC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values of the Test drug product should not be less than 0.80 (80%) nor greater than 1.25 (125%) of that of the Reference product based on log-transformed data.</w:t>
                  </w:r>
                </w:p>
              </w:tc>
            </w:tr>
          </w:tbl>
          <w:p w14:paraId="600638A5" w14:textId="77777777" w:rsidR="00563987" w:rsidRPr="00563987" w:rsidRDefault="00563987" w:rsidP="00563987">
            <w:pPr>
              <w:rPr>
                <w:rFonts w:eastAsiaTheme="minorHAnsi"/>
                <w:vanish/>
              </w:rPr>
            </w:pPr>
            <w:bookmarkStart w:id="134" w:name="2481742"/>
            <w:bookmarkEnd w:id="134"/>
          </w:p>
          <w:tbl>
            <w:tblPr>
              <w:tblW w:w="0" w:type="auto"/>
              <w:tblCellSpacing w:w="0" w:type="dxa"/>
              <w:tblCellMar>
                <w:left w:w="0" w:type="dxa"/>
                <w:right w:w="0" w:type="dxa"/>
              </w:tblCellMar>
              <w:tblLook w:val="04A0" w:firstRow="1" w:lastRow="0" w:firstColumn="1" w:lastColumn="0" w:noHBand="0" w:noVBand="1"/>
            </w:tblPr>
            <w:tblGrid>
              <w:gridCol w:w="10320"/>
            </w:tblGrid>
            <w:tr w:rsidR="00563987" w:rsidRPr="00563987" w14:paraId="758EFD81" w14:textId="77777777">
              <w:trPr>
                <w:tblCellSpacing w:w="0" w:type="dxa"/>
              </w:trPr>
              <w:tc>
                <w:tcPr>
                  <w:tcW w:w="0" w:type="auto"/>
                  <w:shd w:val="clear" w:color="auto" w:fill="FFFFFF"/>
                  <w:hideMark/>
                </w:tcPr>
                <w:p w14:paraId="69B7F764" w14:textId="77777777" w:rsidR="00563987" w:rsidRPr="00563987" w:rsidRDefault="00563987" w:rsidP="00563987">
                  <w:pPr>
                    <w:rPr>
                      <w:rFonts w:eastAsiaTheme="minorHAnsi"/>
                    </w:rPr>
                  </w:pPr>
                  <w:bookmarkStart w:id="135" w:name="2481805"/>
                  <w:bookmarkEnd w:id="135"/>
                  <w:r w:rsidRPr="00563987">
                    <w:rPr>
                      <w:rFonts w:eastAsiaTheme="minorHAnsi"/>
                    </w:rPr>
                    <w:t>Bioequivalence Example</w:t>
                  </w:r>
                </w:p>
                <w:p w14:paraId="519AB548" w14:textId="77777777" w:rsidR="00563987" w:rsidRPr="00563987" w:rsidRDefault="00563987" w:rsidP="00563987">
                  <w:pPr>
                    <w:rPr>
                      <w:rFonts w:eastAsiaTheme="minorHAnsi"/>
                    </w:rPr>
                  </w:pPr>
                  <w:bookmarkStart w:id="136" w:name="2481743"/>
                  <w:bookmarkEnd w:id="136"/>
                  <w:r w:rsidRPr="00563987">
                    <w:rPr>
                      <w:rFonts w:eastAsiaTheme="minorHAnsi"/>
                    </w:rPr>
                    <w:t>A simulated example of the results for a single-dose, fasting study is shown in and in . As shown by the ANOVA, no statistical differences for the pharmacokinetic parameters AUC</w:t>
                  </w:r>
                  <w:r w:rsidRPr="00563987">
                    <w:rPr>
                      <w:rFonts w:eastAsiaTheme="minorHAnsi"/>
                      <w:vertAlign w:val="subscript"/>
                    </w:rPr>
                    <w:t>0–</w:t>
                  </w:r>
                  <w:r w:rsidRPr="00563987">
                    <w:rPr>
                      <w:rFonts w:eastAsiaTheme="minorHAnsi"/>
                      <w:i/>
                      <w:iCs/>
                      <w:vertAlign w:val="subscript"/>
                    </w:rPr>
                    <w:t>t</w:t>
                  </w:r>
                  <w:r w:rsidRPr="00563987">
                    <w:rPr>
                      <w:rFonts w:eastAsiaTheme="minorHAnsi"/>
                      <w:vertAlign w:val="subscript"/>
                    </w:rPr>
                    <w:t xml:space="preserve"> </w:t>
                  </w:r>
                  <w:r w:rsidRPr="00563987">
                    <w:rPr>
                      <w:rFonts w:eastAsiaTheme="minorHAnsi"/>
                    </w:rPr>
                    <w:t>, AUC</w:t>
                  </w:r>
                  <w:r w:rsidRPr="00563987">
                    <w:rPr>
                      <w:rFonts w:eastAsiaTheme="minorHAnsi"/>
                      <w:vertAlign w:val="subscript"/>
                    </w:rPr>
                    <w:t>0–∞</w:t>
                  </w:r>
                  <w:r w:rsidRPr="00563987">
                    <w:rPr>
                      <w:rFonts w:eastAsiaTheme="minorHAnsi"/>
                    </w:rPr>
                    <w:t xml:space="preserve">, and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were observed between the Test product and the brand-name product. The 90% confidence limits for the mean pharmacokinetic parameters of the Test product were within 0.80–1.25 (80–125%) of the reference product means based on log transformation of the data. The power test for the AUC measures were above 99%, showing good precision of the data. The power test for the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values was 87.9%, showing that this parameter was more variable.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52D3E6B8"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0FBBAB2D" w14:textId="77777777">
                          <w:trPr>
                            <w:tblCellSpacing w:w="0" w:type="dxa"/>
                          </w:trPr>
                          <w:tc>
                            <w:tcPr>
                              <w:tcW w:w="0" w:type="auto"/>
                              <w:vAlign w:val="center"/>
                              <w:hideMark/>
                            </w:tcPr>
                            <w:p w14:paraId="372971F5" w14:textId="77777777" w:rsidR="00563987" w:rsidRPr="00563987" w:rsidRDefault="00563987" w:rsidP="00563987">
                              <w:pPr>
                                <w:rPr>
                                  <w:rFonts w:eastAsiaTheme="minorHAnsi"/>
                                </w:rPr>
                              </w:pPr>
                              <w:bookmarkStart w:id="137" w:name="2481830"/>
                              <w:bookmarkEnd w:id="137"/>
                              <w:r w:rsidRPr="00563987">
                                <w:rPr>
                                  <w:rFonts w:eastAsiaTheme="minorHAnsi"/>
                                </w:rPr>
                                <w:t>Table 15.5 Bioavailability Comparison of a Generic (Test) and Brand-Name (Reference) Drug Products (Log-Normal Transformed Data)</w:t>
                              </w:r>
                            </w:p>
                            <w:p w14:paraId="4C05A5EF" w14:textId="77777777" w:rsidR="00563987" w:rsidRPr="00563987" w:rsidRDefault="00563987" w:rsidP="00563987">
                              <w:pPr>
                                <w:rPr>
                                  <w:rFonts w:eastAsiaTheme="minorHAnsi"/>
                                </w:rPr>
                              </w:pPr>
                            </w:p>
                          </w:tc>
                        </w:tr>
                      </w:tbl>
                      <w:p w14:paraId="2DA29FA9" w14:textId="77777777" w:rsidR="00563987" w:rsidRPr="00563987" w:rsidRDefault="00563987" w:rsidP="00563987">
                        <w:pPr>
                          <w:rPr>
                            <w:rFonts w:eastAsiaTheme="minorHAnsi"/>
                          </w:rPr>
                        </w:pPr>
                      </w:p>
                    </w:tc>
                  </w:tr>
                  <w:tr w:rsidR="00563987" w:rsidRPr="00563987" w14:paraId="135E01E6"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930"/>
                          <w:gridCol w:w="761"/>
                          <w:gridCol w:w="819"/>
                          <w:gridCol w:w="1045"/>
                          <w:gridCol w:w="699"/>
                          <w:gridCol w:w="2337"/>
                          <w:gridCol w:w="1433"/>
                          <w:gridCol w:w="1172"/>
                          <w:gridCol w:w="1108"/>
                        </w:tblGrid>
                        <w:tr w:rsidR="00563987" w:rsidRPr="00563987" w14:paraId="6FDD1ADD" w14:textId="77777777">
                          <w:trPr>
                            <w:tblHeader/>
                            <w:tblCellSpacing w:w="7" w:type="dxa"/>
                          </w:trPr>
                          <w:tc>
                            <w:tcPr>
                              <w:tcW w:w="0" w:type="auto"/>
                              <w:shd w:val="clear" w:color="auto" w:fill="FFFFFF"/>
                              <w:hideMark/>
                            </w:tcPr>
                            <w:p w14:paraId="2646EFE5"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A6DEFDF" w14:textId="77777777" w:rsidR="00563987" w:rsidRPr="00563987" w:rsidRDefault="00563987" w:rsidP="00563987">
                              <w:pPr>
                                <w:rPr>
                                  <w:rFonts w:eastAsiaTheme="minorHAnsi"/>
                                  <w:b/>
                                  <w:bCs/>
                                </w:rPr>
                              </w:pPr>
                              <w:r w:rsidRPr="00563987">
                                <w:rPr>
                                  <w:rFonts w:eastAsiaTheme="minorHAnsi"/>
                                  <w:b/>
                                  <w:bCs/>
                                </w:rPr>
                                <w:t> </w:t>
                              </w:r>
                            </w:p>
                          </w:tc>
                          <w:tc>
                            <w:tcPr>
                              <w:tcW w:w="0" w:type="auto"/>
                              <w:gridSpan w:val="2"/>
                              <w:shd w:val="clear" w:color="auto" w:fill="FFFFFF"/>
                              <w:hideMark/>
                            </w:tcPr>
                            <w:p w14:paraId="36980306" w14:textId="77777777" w:rsidR="00563987" w:rsidRPr="00563987" w:rsidRDefault="00563987" w:rsidP="00563987">
                              <w:pPr>
                                <w:rPr>
                                  <w:rFonts w:eastAsiaTheme="minorHAnsi"/>
                                  <w:b/>
                                  <w:bCs/>
                                </w:rPr>
                              </w:pPr>
                              <w:r w:rsidRPr="00563987">
                                <w:rPr>
                                  <w:rFonts w:eastAsiaTheme="minorHAnsi"/>
                                  <w:b/>
                                  <w:bCs/>
                                </w:rPr>
                                <w:t>Geometric Mean</w:t>
                              </w:r>
                            </w:p>
                          </w:tc>
                          <w:tc>
                            <w:tcPr>
                              <w:tcW w:w="0" w:type="auto"/>
                              <w:shd w:val="clear" w:color="auto" w:fill="FFFFFF"/>
                              <w:hideMark/>
                            </w:tcPr>
                            <w:p w14:paraId="00B8BBD3"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4A0A3B6F"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596EA7E"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9AEA890" w14:textId="77777777" w:rsidR="00563987" w:rsidRPr="00563987" w:rsidRDefault="00563987" w:rsidP="00563987">
                              <w:pPr>
                                <w:rPr>
                                  <w:rFonts w:eastAsiaTheme="minorHAnsi"/>
                                  <w:b/>
                                  <w:bCs/>
                                </w:rPr>
                              </w:pPr>
                              <w:r w:rsidRPr="00563987">
                                <w:rPr>
                                  <w:rFonts w:eastAsiaTheme="minorHAnsi"/>
                                  <w:b/>
                                  <w:bCs/>
                                </w:rPr>
                                <w:t> </w:t>
                              </w:r>
                            </w:p>
                          </w:tc>
                          <w:tc>
                            <w:tcPr>
                              <w:tcW w:w="0" w:type="auto"/>
                              <w:shd w:val="clear" w:color="auto" w:fill="FFFFFF"/>
                              <w:hideMark/>
                            </w:tcPr>
                            <w:p w14:paraId="0C85460D" w14:textId="77777777" w:rsidR="00563987" w:rsidRPr="00563987" w:rsidRDefault="00563987" w:rsidP="00563987">
                              <w:pPr>
                                <w:rPr>
                                  <w:rFonts w:eastAsiaTheme="minorHAnsi"/>
                                  <w:b/>
                                  <w:bCs/>
                                </w:rPr>
                              </w:pPr>
                              <w:r w:rsidRPr="00563987">
                                <w:rPr>
                                  <w:rFonts w:eastAsiaTheme="minorHAnsi"/>
                                  <w:b/>
                                  <w:bCs/>
                                </w:rPr>
                                <w:t> </w:t>
                              </w:r>
                            </w:p>
                          </w:tc>
                        </w:tr>
                        <w:tr w:rsidR="00563987" w:rsidRPr="00563987" w14:paraId="0D621715" w14:textId="77777777">
                          <w:trPr>
                            <w:tblHeader/>
                            <w:tblCellSpacing w:w="7" w:type="dxa"/>
                          </w:trPr>
                          <w:tc>
                            <w:tcPr>
                              <w:tcW w:w="0" w:type="auto"/>
                              <w:shd w:val="clear" w:color="auto" w:fill="FFFFFF"/>
                              <w:hideMark/>
                            </w:tcPr>
                            <w:p w14:paraId="105C8EB1" w14:textId="77777777" w:rsidR="00563987" w:rsidRPr="00563987" w:rsidRDefault="00563987" w:rsidP="00563987">
                              <w:pPr>
                                <w:rPr>
                                  <w:rFonts w:eastAsiaTheme="minorHAnsi"/>
                                  <w:b/>
                                  <w:bCs/>
                                </w:rPr>
                              </w:pPr>
                              <w:r w:rsidRPr="00563987">
                                <w:rPr>
                                  <w:rFonts w:eastAsiaTheme="minorHAnsi"/>
                                  <w:b/>
                                  <w:bCs/>
                                </w:rPr>
                                <w:t>Variable</w:t>
                              </w:r>
                            </w:p>
                          </w:tc>
                          <w:tc>
                            <w:tcPr>
                              <w:tcW w:w="0" w:type="auto"/>
                              <w:shd w:val="clear" w:color="auto" w:fill="FFFFFF"/>
                              <w:hideMark/>
                            </w:tcPr>
                            <w:p w14:paraId="49DAE043" w14:textId="77777777" w:rsidR="00563987" w:rsidRPr="00563987" w:rsidRDefault="00563987" w:rsidP="00563987">
                              <w:pPr>
                                <w:rPr>
                                  <w:rFonts w:eastAsiaTheme="minorHAnsi"/>
                                  <w:b/>
                                  <w:bCs/>
                                </w:rPr>
                              </w:pPr>
                              <w:r w:rsidRPr="00563987">
                                <w:rPr>
                                  <w:rFonts w:eastAsiaTheme="minorHAnsi"/>
                                  <w:b/>
                                  <w:bCs/>
                                </w:rPr>
                                <w:t>Units</w:t>
                              </w:r>
                            </w:p>
                          </w:tc>
                          <w:tc>
                            <w:tcPr>
                              <w:tcW w:w="0" w:type="auto"/>
                              <w:shd w:val="clear" w:color="auto" w:fill="FFFFFF"/>
                              <w:hideMark/>
                            </w:tcPr>
                            <w:p w14:paraId="6CDA3A83" w14:textId="77777777" w:rsidR="00563987" w:rsidRPr="00563987" w:rsidRDefault="00563987" w:rsidP="00563987">
                              <w:pPr>
                                <w:rPr>
                                  <w:rFonts w:eastAsiaTheme="minorHAnsi"/>
                                  <w:b/>
                                  <w:bCs/>
                                </w:rPr>
                              </w:pPr>
                              <w:r w:rsidRPr="00563987">
                                <w:rPr>
                                  <w:rFonts w:eastAsiaTheme="minorHAnsi"/>
                                  <w:b/>
                                  <w:bCs/>
                                </w:rPr>
                                <w:t>Test</w:t>
                              </w:r>
                            </w:p>
                          </w:tc>
                          <w:tc>
                            <w:tcPr>
                              <w:tcW w:w="0" w:type="auto"/>
                              <w:shd w:val="clear" w:color="auto" w:fill="FFFFFF"/>
                              <w:hideMark/>
                            </w:tcPr>
                            <w:p w14:paraId="0B039B12" w14:textId="77777777" w:rsidR="00563987" w:rsidRPr="00563987" w:rsidRDefault="00563987" w:rsidP="00563987">
                              <w:pPr>
                                <w:rPr>
                                  <w:rFonts w:eastAsiaTheme="minorHAnsi"/>
                                  <w:b/>
                                  <w:bCs/>
                                </w:rPr>
                              </w:pPr>
                              <w:r w:rsidRPr="00563987">
                                <w:rPr>
                                  <w:rFonts w:eastAsiaTheme="minorHAnsi"/>
                                  <w:b/>
                                  <w:bCs/>
                                </w:rPr>
                                <w:t>Reference</w:t>
                              </w:r>
                            </w:p>
                          </w:tc>
                          <w:tc>
                            <w:tcPr>
                              <w:tcW w:w="0" w:type="auto"/>
                              <w:shd w:val="clear" w:color="auto" w:fill="FFFFFF"/>
                              <w:hideMark/>
                            </w:tcPr>
                            <w:p w14:paraId="2460AF2C" w14:textId="77777777" w:rsidR="00563987" w:rsidRPr="00563987" w:rsidRDefault="00563987" w:rsidP="00563987">
                              <w:pPr>
                                <w:rPr>
                                  <w:rFonts w:eastAsiaTheme="minorHAnsi"/>
                                  <w:b/>
                                  <w:bCs/>
                                </w:rPr>
                              </w:pPr>
                              <w:r w:rsidRPr="00563987">
                                <w:rPr>
                                  <w:rFonts w:eastAsiaTheme="minorHAnsi"/>
                                  <w:b/>
                                  <w:bCs/>
                                </w:rPr>
                                <w:t>% Ratio</w:t>
                              </w:r>
                            </w:p>
                          </w:tc>
                          <w:tc>
                            <w:tcPr>
                              <w:tcW w:w="0" w:type="auto"/>
                              <w:shd w:val="clear" w:color="auto" w:fill="FFFFFF"/>
                              <w:hideMark/>
                            </w:tcPr>
                            <w:p w14:paraId="2C2CF637" w14:textId="77777777" w:rsidR="00563987" w:rsidRPr="00563987" w:rsidRDefault="00563987" w:rsidP="00563987">
                              <w:pPr>
                                <w:rPr>
                                  <w:rFonts w:eastAsiaTheme="minorHAnsi"/>
                                  <w:b/>
                                  <w:bCs/>
                                </w:rPr>
                              </w:pPr>
                              <w:r w:rsidRPr="00563987">
                                <w:rPr>
                                  <w:rFonts w:eastAsiaTheme="minorHAnsi"/>
                                  <w:b/>
                                  <w:bCs/>
                                </w:rPr>
                                <w:t>90% Confidence Interval (Lower Limit, Upper Limit)</w:t>
                              </w:r>
                            </w:p>
                          </w:tc>
                          <w:tc>
                            <w:tcPr>
                              <w:tcW w:w="0" w:type="auto"/>
                              <w:shd w:val="clear" w:color="auto" w:fill="FFFFFF"/>
                              <w:hideMark/>
                            </w:tcPr>
                            <w:p w14:paraId="53EE5D8B" w14:textId="77777777" w:rsidR="00563987" w:rsidRPr="00563987" w:rsidRDefault="00563987" w:rsidP="00563987">
                              <w:pPr>
                                <w:rPr>
                                  <w:rFonts w:eastAsiaTheme="minorHAnsi"/>
                                  <w:b/>
                                  <w:bCs/>
                                </w:rPr>
                              </w:pPr>
                              <w:r w:rsidRPr="00563987">
                                <w:rPr>
                                  <w:rFonts w:eastAsiaTheme="minorHAnsi"/>
                                  <w:b/>
                                  <w:bCs/>
                                  <w:i/>
                                  <w:iCs/>
                                </w:rPr>
                                <w:t>p</w:t>
                              </w:r>
                              <w:r w:rsidRPr="00563987">
                                <w:rPr>
                                  <w:rFonts w:eastAsiaTheme="minorHAnsi"/>
                                  <w:b/>
                                  <w:bCs/>
                                </w:rPr>
                                <w:t xml:space="preserve"> Values for Product Effects </w:t>
                              </w:r>
                            </w:p>
                          </w:tc>
                          <w:tc>
                            <w:tcPr>
                              <w:tcW w:w="0" w:type="auto"/>
                              <w:shd w:val="clear" w:color="auto" w:fill="FFFFFF"/>
                              <w:hideMark/>
                            </w:tcPr>
                            <w:p w14:paraId="7A8774DC" w14:textId="77777777" w:rsidR="00563987" w:rsidRPr="00563987" w:rsidRDefault="00563987" w:rsidP="00563987">
                              <w:pPr>
                                <w:rPr>
                                  <w:rFonts w:eastAsiaTheme="minorHAnsi"/>
                                  <w:b/>
                                  <w:bCs/>
                                </w:rPr>
                              </w:pPr>
                              <w:r w:rsidRPr="00563987">
                                <w:rPr>
                                  <w:rFonts w:eastAsiaTheme="minorHAnsi"/>
                                  <w:b/>
                                  <w:bCs/>
                                </w:rPr>
                                <w:t>Power of ANOVA</w:t>
                              </w:r>
                            </w:p>
                          </w:tc>
                          <w:tc>
                            <w:tcPr>
                              <w:tcW w:w="0" w:type="auto"/>
                              <w:shd w:val="clear" w:color="auto" w:fill="FFFFFF"/>
                              <w:hideMark/>
                            </w:tcPr>
                            <w:p w14:paraId="399B142F" w14:textId="77777777" w:rsidR="00563987" w:rsidRPr="00563987" w:rsidRDefault="00563987" w:rsidP="00563987">
                              <w:pPr>
                                <w:rPr>
                                  <w:rFonts w:eastAsiaTheme="minorHAnsi"/>
                                  <w:b/>
                                  <w:bCs/>
                                </w:rPr>
                              </w:pPr>
                              <w:r w:rsidRPr="00563987">
                                <w:rPr>
                                  <w:rFonts w:eastAsiaTheme="minorHAnsi"/>
                                  <w:b/>
                                  <w:bCs/>
                                </w:rPr>
                                <w:t>ANOVA % CV</w:t>
                              </w:r>
                            </w:p>
                          </w:tc>
                        </w:tr>
                        <w:tr w:rsidR="00563987" w:rsidRPr="00563987" w14:paraId="25EF715A" w14:textId="77777777">
                          <w:trPr>
                            <w:tblCellSpacing w:w="7" w:type="dxa"/>
                          </w:trPr>
                          <w:tc>
                            <w:tcPr>
                              <w:tcW w:w="0" w:type="auto"/>
                              <w:shd w:val="clear" w:color="auto" w:fill="FFFFFF"/>
                              <w:hideMark/>
                            </w:tcPr>
                            <w:p w14:paraId="071C4977" w14:textId="77777777" w:rsidR="00563987" w:rsidRPr="00563987" w:rsidRDefault="00563987" w:rsidP="00563987">
                              <w:pPr>
                                <w:rPr>
                                  <w:rFonts w:eastAsiaTheme="minorHAnsi"/>
                                </w:rPr>
                              </w:pP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633AFC9F" w14:textId="77777777" w:rsidR="00563987" w:rsidRPr="00563987" w:rsidRDefault="00563987" w:rsidP="00563987">
                              <w:pPr>
                                <w:rPr>
                                  <w:rFonts w:eastAsiaTheme="minorHAnsi"/>
                                </w:rPr>
                              </w:pPr>
                              <w:r w:rsidRPr="00563987">
                                <w:rPr>
                                  <w:rFonts w:eastAsiaTheme="minorHAnsi"/>
                                </w:rPr>
                                <w:t>ng/mL</w:t>
                              </w:r>
                            </w:p>
                          </w:tc>
                          <w:tc>
                            <w:tcPr>
                              <w:tcW w:w="0" w:type="auto"/>
                              <w:shd w:val="clear" w:color="auto" w:fill="FFFFFF"/>
                              <w:hideMark/>
                            </w:tcPr>
                            <w:p w14:paraId="68FA47E9" w14:textId="77777777" w:rsidR="00563987" w:rsidRPr="00563987" w:rsidRDefault="00563987" w:rsidP="00563987">
                              <w:pPr>
                                <w:rPr>
                                  <w:rFonts w:eastAsiaTheme="minorHAnsi"/>
                                </w:rPr>
                              </w:pPr>
                              <w:r w:rsidRPr="00563987">
                                <w:rPr>
                                  <w:rFonts w:eastAsiaTheme="minorHAnsi"/>
                                </w:rPr>
                                <w:t>344.79</w:t>
                              </w:r>
                            </w:p>
                          </w:tc>
                          <w:tc>
                            <w:tcPr>
                              <w:tcW w:w="0" w:type="auto"/>
                              <w:shd w:val="clear" w:color="auto" w:fill="FFFFFF"/>
                              <w:hideMark/>
                            </w:tcPr>
                            <w:p w14:paraId="64A5A1EA" w14:textId="77777777" w:rsidR="00563987" w:rsidRPr="00563987" w:rsidRDefault="00563987" w:rsidP="00563987">
                              <w:pPr>
                                <w:rPr>
                                  <w:rFonts w:eastAsiaTheme="minorHAnsi"/>
                                </w:rPr>
                              </w:pPr>
                              <w:r w:rsidRPr="00563987">
                                <w:rPr>
                                  <w:rFonts w:eastAsiaTheme="minorHAnsi"/>
                                </w:rPr>
                                <w:t>356.81</w:t>
                              </w:r>
                            </w:p>
                          </w:tc>
                          <w:tc>
                            <w:tcPr>
                              <w:tcW w:w="0" w:type="auto"/>
                              <w:shd w:val="clear" w:color="auto" w:fill="FFFFFF"/>
                              <w:hideMark/>
                            </w:tcPr>
                            <w:p w14:paraId="414179E8" w14:textId="77777777" w:rsidR="00563987" w:rsidRPr="00563987" w:rsidRDefault="00563987" w:rsidP="00563987">
                              <w:pPr>
                                <w:rPr>
                                  <w:rFonts w:eastAsiaTheme="minorHAnsi"/>
                                </w:rPr>
                              </w:pPr>
                              <w:r w:rsidRPr="00563987">
                                <w:rPr>
                                  <w:rFonts w:eastAsiaTheme="minorHAnsi"/>
                                </w:rPr>
                                <w:t>96.6</w:t>
                              </w:r>
                            </w:p>
                          </w:tc>
                          <w:tc>
                            <w:tcPr>
                              <w:tcW w:w="0" w:type="auto"/>
                              <w:shd w:val="clear" w:color="auto" w:fill="FFFFFF"/>
                              <w:hideMark/>
                            </w:tcPr>
                            <w:p w14:paraId="07EE8257" w14:textId="77777777" w:rsidR="00563987" w:rsidRPr="00563987" w:rsidRDefault="00563987" w:rsidP="00563987">
                              <w:pPr>
                                <w:rPr>
                                  <w:rFonts w:eastAsiaTheme="minorHAnsi"/>
                                </w:rPr>
                              </w:pPr>
                              <w:r w:rsidRPr="00563987">
                                <w:rPr>
                                  <w:rFonts w:eastAsiaTheme="minorHAnsi"/>
                                </w:rPr>
                                <w:t>(89.5,112)</w:t>
                              </w:r>
                            </w:p>
                          </w:tc>
                          <w:tc>
                            <w:tcPr>
                              <w:tcW w:w="0" w:type="auto"/>
                              <w:shd w:val="clear" w:color="auto" w:fill="FFFFFF"/>
                              <w:hideMark/>
                            </w:tcPr>
                            <w:p w14:paraId="640AFAE7" w14:textId="77777777" w:rsidR="00563987" w:rsidRPr="00563987" w:rsidRDefault="00563987" w:rsidP="00563987">
                              <w:pPr>
                                <w:rPr>
                                  <w:rFonts w:eastAsiaTheme="minorHAnsi"/>
                                </w:rPr>
                              </w:pPr>
                              <w:r w:rsidRPr="00563987">
                                <w:rPr>
                                  <w:rFonts w:eastAsiaTheme="minorHAnsi"/>
                                </w:rPr>
                                <w:t>0.3586</w:t>
                              </w:r>
                            </w:p>
                          </w:tc>
                          <w:tc>
                            <w:tcPr>
                              <w:tcW w:w="0" w:type="auto"/>
                              <w:shd w:val="clear" w:color="auto" w:fill="FFFFFF"/>
                              <w:hideMark/>
                            </w:tcPr>
                            <w:p w14:paraId="14484BB5" w14:textId="77777777" w:rsidR="00563987" w:rsidRPr="00563987" w:rsidRDefault="00563987" w:rsidP="00563987">
                              <w:pPr>
                                <w:rPr>
                                  <w:rFonts w:eastAsiaTheme="minorHAnsi"/>
                                </w:rPr>
                              </w:pPr>
                              <w:r w:rsidRPr="00563987">
                                <w:rPr>
                                  <w:rFonts w:eastAsiaTheme="minorHAnsi"/>
                                </w:rPr>
                                <w:t>0.8791</w:t>
                              </w:r>
                            </w:p>
                          </w:tc>
                          <w:tc>
                            <w:tcPr>
                              <w:tcW w:w="0" w:type="auto"/>
                              <w:shd w:val="clear" w:color="auto" w:fill="FFFFFF"/>
                              <w:hideMark/>
                            </w:tcPr>
                            <w:p w14:paraId="348D25C9" w14:textId="77777777" w:rsidR="00563987" w:rsidRPr="00563987" w:rsidRDefault="00563987" w:rsidP="00563987">
                              <w:pPr>
                                <w:rPr>
                                  <w:rFonts w:eastAsiaTheme="minorHAnsi"/>
                                </w:rPr>
                              </w:pPr>
                              <w:r w:rsidRPr="00563987">
                                <w:rPr>
                                  <w:rFonts w:eastAsiaTheme="minorHAnsi"/>
                                </w:rPr>
                                <w:t>17.90%</w:t>
                              </w:r>
                            </w:p>
                          </w:tc>
                        </w:tr>
                        <w:tr w:rsidR="00563987" w:rsidRPr="00563987" w14:paraId="670FFB9B" w14:textId="77777777">
                          <w:trPr>
                            <w:tblCellSpacing w:w="7" w:type="dxa"/>
                          </w:trPr>
                          <w:tc>
                            <w:tcPr>
                              <w:tcW w:w="0" w:type="auto"/>
                              <w:shd w:val="clear" w:color="auto" w:fill="FFFFFF"/>
                              <w:hideMark/>
                            </w:tcPr>
                            <w:p w14:paraId="6DDC61A9" w14:textId="77777777" w:rsidR="00563987" w:rsidRPr="00563987" w:rsidRDefault="00563987" w:rsidP="00563987">
                              <w:pPr>
                                <w:rPr>
                                  <w:rFonts w:eastAsiaTheme="minorHAnsi"/>
                                </w:rPr>
                              </w:pPr>
                              <w:r w:rsidRPr="00563987">
                                <w:rPr>
                                  <w:rFonts w:eastAsiaTheme="minorHAnsi"/>
                                </w:rPr>
                                <w:t>AUC</w:t>
                              </w:r>
                              <w:r w:rsidRPr="00563987">
                                <w:rPr>
                                  <w:rFonts w:eastAsiaTheme="minorHAnsi"/>
                                  <w:vertAlign w:val="subscript"/>
                                </w:rPr>
                                <w:t>0–t</w:t>
                              </w:r>
                              <w:r w:rsidRPr="00563987">
                                <w:rPr>
                                  <w:rFonts w:eastAsiaTheme="minorHAnsi"/>
                                </w:rPr>
                                <w:t xml:space="preserve"> </w:t>
                              </w:r>
                              <w:r w:rsidRPr="00563987">
                                <w:rPr>
                                  <w:rFonts w:eastAsiaTheme="minorHAnsi"/>
                                </w:rPr>
                                <w:br/>
                                <w:t> </w:t>
                              </w:r>
                            </w:p>
                          </w:tc>
                          <w:tc>
                            <w:tcPr>
                              <w:tcW w:w="0" w:type="auto"/>
                              <w:shd w:val="clear" w:color="auto" w:fill="FFFFFF"/>
                              <w:hideMark/>
                            </w:tcPr>
                            <w:p w14:paraId="3A9B73AD" w14:textId="77777777" w:rsidR="00563987" w:rsidRPr="00563987" w:rsidRDefault="00563987" w:rsidP="00563987">
                              <w:pPr>
                                <w:rPr>
                                  <w:rFonts w:eastAsiaTheme="minorHAnsi"/>
                                </w:rPr>
                              </w:pPr>
                              <w:r w:rsidRPr="00563987">
                                <w:rPr>
                                  <w:rFonts w:eastAsiaTheme="minorHAnsi"/>
                                </w:rPr>
                                <w:t xml:space="preserve">ng </w:t>
                              </w:r>
                              <w:proofErr w:type="spellStart"/>
                              <w:r w:rsidRPr="00563987">
                                <w:rPr>
                                  <w:rFonts w:eastAsiaTheme="minorHAnsi"/>
                                </w:rPr>
                                <w:t>hr</w:t>
                              </w:r>
                              <w:proofErr w:type="spellEnd"/>
                              <w:r w:rsidRPr="00563987">
                                <w:rPr>
                                  <w:rFonts w:eastAsiaTheme="minorHAnsi"/>
                                </w:rPr>
                                <w:t>/mL</w:t>
                              </w:r>
                            </w:p>
                          </w:tc>
                          <w:tc>
                            <w:tcPr>
                              <w:tcW w:w="0" w:type="auto"/>
                              <w:shd w:val="clear" w:color="auto" w:fill="FFFFFF"/>
                              <w:hideMark/>
                            </w:tcPr>
                            <w:p w14:paraId="78B1813F" w14:textId="77777777" w:rsidR="00563987" w:rsidRPr="00563987" w:rsidRDefault="00563987" w:rsidP="00563987">
                              <w:pPr>
                                <w:rPr>
                                  <w:rFonts w:eastAsiaTheme="minorHAnsi"/>
                                </w:rPr>
                              </w:pPr>
                              <w:r w:rsidRPr="00563987">
                                <w:rPr>
                                  <w:rFonts w:eastAsiaTheme="minorHAnsi"/>
                                </w:rPr>
                                <w:t>2659.12</w:t>
                              </w:r>
                            </w:p>
                          </w:tc>
                          <w:tc>
                            <w:tcPr>
                              <w:tcW w:w="0" w:type="auto"/>
                              <w:shd w:val="clear" w:color="auto" w:fill="FFFFFF"/>
                              <w:hideMark/>
                            </w:tcPr>
                            <w:p w14:paraId="4CB84014" w14:textId="77777777" w:rsidR="00563987" w:rsidRPr="00563987" w:rsidRDefault="00563987" w:rsidP="00563987">
                              <w:pPr>
                                <w:rPr>
                                  <w:rFonts w:eastAsiaTheme="minorHAnsi"/>
                                </w:rPr>
                              </w:pPr>
                              <w:r w:rsidRPr="00563987">
                                <w:rPr>
                                  <w:rFonts w:eastAsiaTheme="minorHAnsi"/>
                                </w:rPr>
                                <w:t>2674.92</w:t>
                              </w:r>
                            </w:p>
                          </w:tc>
                          <w:tc>
                            <w:tcPr>
                              <w:tcW w:w="0" w:type="auto"/>
                              <w:shd w:val="clear" w:color="auto" w:fill="FFFFFF"/>
                              <w:hideMark/>
                            </w:tcPr>
                            <w:p w14:paraId="537F1236" w14:textId="77777777" w:rsidR="00563987" w:rsidRPr="00563987" w:rsidRDefault="00563987" w:rsidP="00563987">
                              <w:pPr>
                                <w:rPr>
                                  <w:rFonts w:eastAsiaTheme="minorHAnsi"/>
                                </w:rPr>
                              </w:pPr>
                              <w:r w:rsidRPr="00563987">
                                <w:rPr>
                                  <w:rFonts w:eastAsiaTheme="minorHAnsi"/>
                                </w:rPr>
                                <w:t>99.4</w:t>
                              </w:r>
                            </w:p>
                          </w:tc>
                          <w:tc>
                            <w:tcPr>
                              <w:tcW w:w="0" w:type="auto"/>
                              <w:shd w:val="clear" w:color="auto" w:fill="FFFFFF"/>
                              <w:hideMark/>
                            </w:tcPr>
                            <w:p w14:paraId="4CEA7E61" w14:textId="77777777" w:rsidR="00563987" w:rsidRPr="00563987" w:rsidRDefault="00563987" w:rsidP="00563987">
                              <w:pPr>
                                <w:rPr>
                                  <w:rFonts w:eastAsiaTheme="minorHAnsi"/>
                                </w:rPr>
                              </w:pPr>
                              <w:r w:rsidRPr="00563987">
                                <w:rPr>
                                  <w:rFonts w:eastAsiaTheme="minorHAnsi"/>
                                </w:rPr>
                                <w:t>(95.1,104)</w:t>
                              </w:r>
                            </w:p>
                          </w:tc>
                          <w:tc>
                            <w:tcPr>
                              <w:tcW w:w="0" w:type="auto"/>
                              <w:shd w:val="clear" w:color="auto" w:fill="FFFFFF"/>
                              <w:hideMark/>
                            </w:tcPr>
                            <w:p w14:paraId="5AFF2421" w14:textId="77777777" w:rsidR="00563987" w:rsidRPr="00563987" w:rsidRDefault="00563987" w:rsidP="00563987">
                              <w:pPr>
                                <w:rPr>
                                  <w:rFonts w:eastAsiaTheme="minorHAnsi"/>
                                </w:rPr>
                              </w:pPr>
                              <w:r w:rsidRPr="00563987">
                                <w:rPr>
                                  <w:rFonts w:eastAsiaTheme="minorHAnsi"/>
                                </w:rPr>
                                <w:t>0.8172</w:t>
                              </w:r>
                            </w:p>
                          </w:tc>
                          <w:tc>
                            <w:tcPr>
                              <w:tcW w:w="0" w:type="auto"/>
                              <w:shd w:val="clear" w:color="auto" w:fill="FFFFFF"/>
                              <w:hideMark/>
                            </w:tcPr>
                            <w:p w14:paraId="0919FE7A" w14:textId="77777777" w:rsidR="00563987" w:rsidRPr="00563987" w:rsidRDefault="00563987" w:rsidP="00563987">
                              <w:pPr>
                                <w:rPr>
                                  <w:rFonts w:eastAsiaTheme="minorHAnsi"/>
                                </w:rPr>
                              </w:pPr>
                              <w:r w:rsidRPr="00563987">
                                <w:rPr>
                                  <w:rFonts w:eastAsiaTheme="minorHAnsi"/>
                                </w:rPr>
                                <w:t>1.0000</w:t>
                              </w:r>
                            </w:p>
                          </w:tc>
                          <w:tc>
                            <w:tcPr>
                              <w:tcW w:w="0" w:type="auto"/>
                              <w:shd w:val="clear" w:color="auto" w:fill="FFFFFF"/>
                              <w:hideMark/>
                            </w:tcPr>
                            <w:p w14:paraId="454444CB" w14:textId="77777777" w:rsidR="00563987" w:rsidRPr="00563987" w:rsidRDefault="00563987" w:rsidP="00563987">
                              <w:pPr>
                                <w:rPr>
                                  <w:rFonts w:eastAsiaTheme="minorHAnsi"/>
                                </w:rPr>
                              </w:pPr>
                              <w:r w:rsidRPr="00563987">
                                <w:rPr>
                                  <w:rFonts w:eastAsiaTheme="minorHAnsi"/>
                                </w:rPr>
                                <w:t>12.60%</w:t>
                              </w:r>
                            </w:p>
                          </w:tc>
                        </w:tr>
                        <w:tr w:rsidR="00563987" w:rsidRPr="00563987" w14:paraId="7101CBB4" w14:textId="77777777">
                          <w:trPr>
                            <w:tblCellSpacing w:w="7" w:type="dxa"/>
                          </w:trPr>
                          <w:tc>
                            <w:tcPr>
                              <w:tcW w:w="0" w:type="auto"/>
                              <w:shd w:val="clear" w:color="auto" w:fill="FFFFFF"/>
                              <w:hideMark/>
                            </w:tcPr>
                            <w:p w14:paraId="6B345DAB" w14:textId="77777777" w:rsidR="00563987" w:rsidRPr="00563987" w:rsidRDefault="00563987" w:rsidP="00563987">
                              <w:pPr>
                                <w:rPr>
                                  <w:rFonts w:eastAsiaTheme="minorHAnsi"/>
                                </w:rPr>
                              </w:pPr>
                              <w:r w:rsidRPr="00563987">
                                <w:rPr>
                                  <w:rFonts w:eastAsiaTheme="minorHAnsi"/>
                                </w:rPr>
                                <w:t>AUC</w:t>
                              </w:r>
                              <w:r w:rsidRPr="00563987">
                                <w:rPr>
                                  <w:rFonts w:eastAsiaTheme="minorHAnsi"/>
                                  <w:vertAlign w:val="subscript"/>
                                </w:rPr>
                                <w:t>∞</w:t>
                              </w:r>
                              <w:r w:rsidRPr="00563987">
                                <w:rPr>
                                  <w:rFonts w:eastAsiaTheme="minorHAnsi"/>
                                </w:rPr>
                                <w:t xml:space="preserve"> </w:t>
                              </w:r>
                              <w:r w:rsidRPr="00563987">
                                <w:rPr>
                                  <w:rFonts w:eastAsiaTheme="minorHAnsi"/>
                                </w:rPr>
                                <w:br/>
                                <w:t> </w:t>
                              </w:r>
                            </w:p>
                          </w:tc>
                          <w:tc>
                            <w:tcPr>
                              <w:tcW w:w="0" w:type="auto"/>
                              <w:shd w:val="clear" w:color="auto" w:fill="FFFFFF"/>
                              <w:hideMark/>
                            </w:tcPr>
                            <w:p w14:paraId="52FA6CB2" w14:textId="77777777" w:rsidR="00563987" w:rsidRPr="00563987" w:rsidRDefault="00563987" w:rsidP="00563987">
                              <w:pPr>
                                <w:rPr>
                                  <w:rFonts w:eastAsiaTheme="minorHAnsi"/>
                                </w:rPr>
                              </w:pPr>
                              <w:r w:rsidRPr="00563987">
                                <w:rPr>
                                  <w:rFonts w:eastAsiaTheme="minorHAnsi"/>
                                </w:rPr>
                                <w:br/>
                                <w:t> </w:t>
                              </w:r>
                            </w:p>
                          </w:tc>
                          <w:tc>
                            <w:tcPr>
                              <w:tcW w:w="0" w:type="auto"/>
                              <w:shd w:val="clear" w:color="auto" w:fill="FFFFFF"/>
                              <w:hideMark/>
                            </w:tcPr>
                            <w:p w14:paraId="6C28C101" w14:textId="77777777" w:rsidR="00563987" w:rsidRPr="00563987" w:rsidRDefault="00563987" w:rsidP="00563987">
                              <w:pPr>
                                <w:rPr>
                                  <w:rFonts w:eastAsiaTheme="minorHAnsi"/>
                                </w:rPr>
                              </w:pPr>
                              <w:r w:rsidRPr="00563987">
                                <w:rPr>
                                  <w:rFonts w:eastAsiaTheme="minorHAnsi"/>
                                </w:rPr>
                                <w:t>2708.63</w:t>
                              </w:r>
                            </w:p>
                          </w:tc>
                          <w:tc>
                            <w:tcPr>
                              <w:tcW w:w="0" w:type="auto"/>
                              <w:shd w:val="clear" w:color="auto" w:fill="FFFFFF"/>
                              <w:hideMark/>
                            </w:tcPr>
                            <w:p w14:paraId="7281231E" w14:textId="77777777" w:rsidR="00563987" w:rsidRPr="00563987" w:rsidRDefault="00563987" w:rsidP="00563987">
                              <w:pPr>
                                <w:rPr>
                                  <w:rFonts w:eastAsiaTheme="minorHAnsi"/>
                                </w:rPr>
                              </w:pPr>
                              <w:r w:rsidRPr="00563987">
                                <w:rPr>
                                  <w:rFonts w:eastAsiaTheme="minorHAnsi"/>
                                </w:rPr>
                                <w:t>2718.52</w:t>
                              </w:r>
                            </w:p>
                          </w:tc>
                          <w:tc>
                            <w:tcPr>
                              <w:tcW w:w="0" w:type="auto"/>
                              <w:shd w:val="clear" w:color="auto" w:fill="FFFFFF"/>
                              <w:hideMark/>
                            </w:tcPr>
                            <w:p w14:paraId="5F2D3B7E" w14:textId="77777777" w:rsidR="00563987" w:rsidRPr="00563987" w:rsidRDefault="00563987" w:rsidP="00563987">
                              <w:pPr>
                                <w:rPr>
                                  <w:rFonts w:eastAsiaTheme="minorHAnsi"/>
                                </w:rPr>
                              </w:pPr>
                              <w:r w:rsidRPr="00563987">
                                <w:rPr>
                                  <w:rFonts w:eastAsiaTheme="minorHAnsi"/>
                                </w:rPr>
                                <w:t>99.6</w:t>
                              </w:r>
                            </w:p>
                          </w:tc>
                          <w:tc>
                            <w:tcPr>
                              <w:tcW w:w="0" w:type="auto"/>
                              <w:shd w:val="clear" w:color="auto" w:fill="FFFFFF"/>
                              <w:hideMark/>
                            </w:tcPr>
                            <w:p w14:paraId="65504BE1" w14:textId="77777777" w:rsidR="00563987" w:rsidRPr="00563987" w:rsidRDefault="00563987" w:rsidP="00563987">
                              <w:pPr>
                                <w:rPr>
                                  <w:rFonts w:eastAsiaTheme="minorHAnsi"/>
                                </w:rPr>
                              </w:pPr>
                              <w:r w:rsidRPr="00563987">
                                <w:rPr>
                                  <w:rFonts w:eastAsiaTheme="minorHAnsi"/>
                                </w:rPr>
                                <w:t>(95.4,103)</w:t>
                              </w:r>
                            </w:p>
                          </w:tc>
                          <w:tc>
                            <w:tcPr>
                              <w:tcW w:w="0" w:type="auto"/>
                              <w:shd w:val="clear" w:color="auto" w:fill="FFFFFF"/>
                              <w:hideMark/>
                            </w:tcPr>
                            <w:p w14:paraId="547BE149" w14:textId="77777777" w:rsidR="00563987" w:rsidRPr="00563987" w:rsidRDefault="00563987" w:rsidP="00563987">
                              <w:pPr>
                                <w:rPr>
                                  <w:rFonts w:eastAsiaTheme="minorHAnsi"/>
                                </w:rPr>
                              </w:pPr>
                              <w:r w:rsidRPr="00563987">
                                <w:rPr>
                                  <w:rFonts w:eastAsiaTheme="minorHAnsi"/>
                                </w:rPr>
                                <w:t>0.8865</w:t>
                              </w:r>
                            </w:p>
                          </w:tc>
                          <w:tc>
                            <w:tcPr>
                              <w:tcW w:w="0" w:type="auto"/>
                              <w:shd w:val="clear" w:color="auto" w:fill="FFFFFF"/>
                              <w:hideMark/>
                            </w:tcPr>
                            <w:p w14:paraId="2F7E9299" w14:textId="77777777" w:rsidR="00563987" w:rsidRPr="00563987" w:rsidRDefault="00563987" w:rsidP="00563987">
                              <w:pPr>
                                <w:rPr>
                                  <w:rFonts w:eastAsiaTheme="minorHAnsi"/>
                                </w:rPr>
                              </w:pPr>
                              <w:r w:rsidRPr="00563987">
                                <w:rPr>
                                  <w:rFonts w:eastAsiaTheme="minorHAnsi"/>
                                </w:rPr>
                                <w:t>1.0000</w:t>
                              </w:r>
                            </w:p>
                          </w:tc>
                          <w:tc>
                            <w:tcPr>
                              <w:tcW w:w="0" w:type="auto"/>
                              <w:shd w:val="clear" w:color="auto" w:fill="FFFFFF"/>
                              <w:hideMark/>
                            </w:tcPr>
                            <w:p w14:paraId="25CAD2B2" w14:textId="77777777" w:rsidR="00563987" w:rsidRPr="00563987" w:rsidRDefault="00563987" w:rsidP="00563987">
                              <w:pPr>
                                <w:rPr>
                                  <w:rFonts w:eastAsiaTheme="minorHAnsi"/>
                                </w:rPr>
                              </w:pPr>
                              <w:r w:rsidRPr="00563987">
                                <w:rPr>
                                  <w:rFonts w:eastAsiaTheme="minorHAnsi"/>
                                </w:rPr>
                                <w:t>12.20%</w:t>
                              </w:r>
                            </w:p>
                          </w:tc>
                        </w:tr>
                        <w:tr w:rsidR="00563987" w:rsidRPr="00563987" w14:paraId="1CEF1AE6" w14:textId="77777777">
                          <w:trPr>
                            <w:tblCellSpacing w:w="7" w:type="dxa"/>
                          </w:trPr>
                          <w:tc>
                            <w:tcPr>
                              <w:tcW w:w="0" w:type="auto"/>
                              <w:shd w:val="clear" w:color="auto" w:fill="FFFFFF"/>
                              <w:hideMark/>
                            </w:tcPr>
                            <w:p w14:paraId="6CF0BECF"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6AD5064E" w14:textId="77777777" w:rsidR="00563987" w:rsidRPr="00563987" w:rsidRDefault="00563987" w:rsidP="00563987">
                              <w:pPr>
                                <w:rPr>
                                  <w:rFonts w:eastAsiaTheme="minorHAnsi"/>
                                </w:rPr>
                              </w:pPr>
                              <w:proofErr w:type="spellStart"/>
                              <w:r w:rsidRPr="00563987">
                                <w:rPr>
                                  <w:rFonts w:eastAsiaTheme="minorHAnsi"/>
                                </w:rPr>
                                <w:t>hr</w:t>
                              </w:r>
                              <w:proofErr w:type="spellEnd"/>
                            </w:p>
                          </w:tc>
                          <w:tc>
                            <w:tcPr>
                              <w:tcW w:w="0" w:type="auto"/>
                              <w:shd w:val="clear" w:color="auto" w:fill="FFFFFF"/>
                              <w:hideMark/>
                            </w:tcPr>
                            <w:p w14:paraId="095FC8F6" w14:textId="77777777" w:rsidR="00563987" w:rsidRPr="00563987" w:rsidRDefault="00563987" w:rsidP="00563987">
                              <w:pPr>
                                <w:rPr>
                                  <w:rFonts w:eastAsiaTheme="minorHAnsi"/>
                                </w:rPr>
                              </w:pPr>
                              <w:r w:rsidRPr="00563987">
                                <w:rPr>
                                  <w:rFonts w:eastAsiaTheme="minorHAnsi"/>
                                </w:rPr>
                                <w:t>4.29</w:t>
                              </w:r>
                            </w:p>
                          </w:tc>
                          <w:tc>
                            <w:tcPr>
                              <w:tcW w:w="0" w:type="auto"/>
                              <w:shd w:val="clear" w:color="auto" w:fill="FFFFFF"/>
                              <w:hideMark/>
                            </w:tcPr>
                            <w:p w14:paraId="3AAD4B20" w14:textId="77777777" w:rsidR="00563987" w:rsidRPr="00563987" w:rsidRDefault="00563987" w:rsidP="00563987">
                              <w:pPr>
                                <w:rPr>
                                  <w:rFonts w:eastAsiaTheme="minorHAnsi"/>
                                </w:rPr>
                              </w:pPr>
                              <w:r w:rsidRPr="00563987">
                                <w:rPr>
                                  <w:rFonts w:eastAsiaTheme="minorHAnsi"/>
                                </w:rPr>
                                <w:t>4.24</w:t>
                              </w:r>
                            </w:p>
                          </w:tc>
                          <w:tc>
                            <w:tcPr>
                              <w:tcW w:w="0" w:type="auto"/>
                              <w:shd w:val="clear" w:color="auto" w:fill="FFFFFF"/>
                              <w:hideMark/>
                            </w:tcPr>
                            <w:p w14:paraId="2527E896" w14:textId="77777777" w:rsidR="00563987" w:rsidRPr="00563987" w:rsidRDefault="00563987" w:rsidP="00563987">
                              <w:pPr>
                                <w:rPr>
                                  <w:rFonts w:eastAsiaTheme="minorHAnsi"/>
                                </w:rPr>
                              </w:pPr>
                              <w:r w:rsidRPr="00563987">
                                <w:rPr>
                                  <w:rFonts w:eastAsiaTheme="minorHAnsi"/>
                                </w:rPr>
                                <w:t>101</w:t>
                              </w:r>
                            </w:p>
                          </w:tc>
                          <w:tc>
                            <w:tcPr>
                              <w:tcW w:w="0" w:type="auto"/>
                              <w:shd w:val="clear" w:color="auto" w:fill="FFFFFF"/>
                              <w:hideMark/>
                            </w:tcPr>
                            <w:p w14:paraId="071293CB"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6EBC894B"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51EBE513"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61BFFA38" w14:textId="77777777" w:rsidR="00563987" w:rsidRPr="00563987" w:rsidRDefault="00563987" w:rsidP="00563987">
                              <w:pPr>
                                <w:rPr>
                                  <w:rFonts w:eastAsiaTheme="minorHAnsi"/>
                                </w:rPr>
                              </w:pPr>
                              <w:r w:rsidRPr="00563987">
                                <w:rPr>
                                  <w:rFonts w:eastAsiaTheme="minorHAnsi"/>
                                </w:rPr>
                                <w:t> </w:t>
                              </w:r>
                            </w:p>
                          </w:tc>
                        </w:tr>
                        <w:tr w:rsidR="00563987" w:rsidRPr="00563987" w14:paraId="41A442FE" w14:textId="77777777">
                          <w:trPr>
                            <w:tblCellSpacing w:w="7" w:type="dxa"/>
                          </w:trPr>
                          <w:tc>
                            <w:tcPr>
                              <w:tcW w:w="0" w:type="auto"/>
                              <w:shd w:val="clear" w:color="auto" w:fill="FFFFFF"/>
                              <w:hideMark/>
                            </w:tcPr>
                            <w:p w14:paraId="1BE7BA41" w14:textId="77777777" w:rsidR="00563987" w:rsidRPr="00563987" w:rsidRDefault="00563987" w:rsidP="00563987">
                              <w:pPr>
                                <w:rPr>
                                  <w:rFonts w:eastAsiaTheme="minorHAnsi"/>
                                </w:rPr>
                              </w:pPr>
                              <w:r w:rsidRPr="00563987">
                                <w:rPr>
                                  <w:rFonts w:eastAsiaTheme="minorHAnsi"/>
                                  <w:i/>
                                  <w:iCs/>
                                </w:rPr>
                                <w:t>K</w:t>
                              </w:r>
                              <w:r w:rsidRPr="00563987">
                                <w:rPr>
                                  <w:rFonts w:eastAsiaTheme="minorHAnsi"/>
                                </w:rPr>
                                <w:t xml:space="preserve"> </w:t>
                              </w:r>
                              <w:proofErr w:type="spellStart"/>
                              <w:r w:rsidRPr="00563987">
                                <w:rPr>
                                  <w:rFonts w:eastAsiaTheme="minorHAnsi"/>
                                  <w:vertAlign w:val="subscript"/>
                                </w:rPr>
                                <w:t>elim</w:t>
                              </w:r>
                              <w:proofErr w:type="spellEnd"/>
                              <w:r w:rsidRPr="00563987">
                                <w:rPr>
                                  <w:rFonts w:eastAsiaTheme="minorHAnsi"/>
                                </w:rPr>
                                <w:t xml:space="preserve"> </w:t>
                              </w:r>
                              <w:r w:rsidRPr="00563987">
                                <w:rPr>
                                  <w:rFonts w:eastAsiaTheme="minorHAnsi"/>
                                </w:rPr>
                                <w:br/>
                                <w:t> </w:t>
                              </w:r>
                            </w:p>
                          </w:tc>
                          <w:tc>
                            <w:tcPr>
                              <w:tcW w:w="0" w:type="auto"/>
                              <w:shd w:val="clear" w:color="auto" w:fill="FFFFFF"/>
                              <w:hideMark/>
                            </w:tcPr>
                            <w:p w14:paraId="23E11B25" w14:textId="77777777" w:rsidR="00563987" w:rsidRPr="00563987" w:rsidRDefault="00563987" w:rsidP="00563987">
                              <w:pPr>
                                <w:rPr>
                                  <w:rFonts w:eastAsiaTheme="minorHAnsi"/>
                                </w:rPr>
                              </w:pPr>
                              <w:r w:rsidRPr="00563987">
                                <w:rPr>
                                  <w:rFonts w:eastAsiaTheme="minorHAnsi"/>
                                </w:rPr>
                                <w:t>1/</w:t>
                              </w:r>
                              <w:proofErr w:type="spellStart"/>
                              <w:r w:rsidRPr="00563987">
                                <w:rPr>
                                  <w:rFonts w:eastAsiaTheme="minorHAnsi"/>
                                </w:rPr>
                                <w:t>hr</w:t>
                              </w:r>
                              <w:proofErr w:type="spellEnd"/>
                            </w:p>
                          </w:tc>
                          <w:tc>
                            <w:tcPr>
                              <w:tcW w:w="0" w:type="auto"/>
                              <w:shd w:val="clear" w:color="auto" w:fill="FFFFFF"/>
                              <w:hideMark/>
                            </w:tcPr>
                            <w:p w14:paraId="0DDB1184" w14:textId="77777777" w:rsidR="00563987" w:rsidRPr="00563987" w:rsidRDefault="00563987" w:rsidP="00563987">
                              <w:pPr>
                                <w:rPr>
                                  <w:rFonts w:eastAsiaTheme="minorHAnsi"/>
                                </w:rPr>
                              </w:pPr>
                              <w:r w:rsidRPr="00563987">
                                <w:rPr>
                                  <w:rFonts w:eastAsiaTheme="minorHAnsi"/>
                                </w:rPr>
                                <w:t>0.0961</w:t>
                              </w:r>
                            </w:p>
                          </w:tc>
                          <w:tc>
                            <w:tcPr>
                              <w:tcW w:w="0" w:type="auto"/>
                              <w:shd w:val="clear" w:color="auto" w:fill="FFFFFF"/>
                              <w:hideMark/>
                            </w:tcPr>
                            <w:p w14:paraId="283BBBD6" w14:textId="77777777" w:rsidR="00563987" w:rsidRPr="00563987" w:rsidRDefault="00563987" w:rsidP="00563987">
                              <w:pPr>
                                <w:rPr>
                                  <w:rFonts w:eastAsiaTheme="minorHAnsi"/>
                                </w:rPr>
                              </w:pPr>
                              <w:r w:rsidRPr="00563987">
                                <w:rPr>
                                  <w:rFonts w:eastAsiaTheme="minorHAnsi"/>
                                </w:rPr>
                                <w:t>0.0980</w:t>
                              </w:r>
                            </w:p>
                          </w:tc>
                          <w:tc>
                            <w:tcPr>
                              <w:tcW w:w="0" w:type="auto"/>
                              <w:shd w:val="clear" w:color="auto" w:fill="FFFFFF"/>
                              <w:hideMark/>
                            </w:tcPr>
                            <w:p w14:paraId="16A1D424" w14:textId="77777777" w:rsidR="00563987" w:rsidRPr="00563987" w:rsidRDefault="00563987" w:rsidP="00563987">
                              <w:pPr>
                                <w:rPr>
                                  <w:rFonts w:eastAsiaTheme="minorHAnsi"/>
                                </w:rPr>
                              </w:pPr>
                              <w:r w:rsidRPr="00563987">
                                <w:rPr>
                                  <w:rFonts w:eastAsiaTheme="minorHAnsi"/>
                                </w:rPr>
                                <w:t>98.1</w:t>
                              </w:r>
                            </w:p>
                          </w:tc>
                          <w:tc>
                            <w:tcPr>
                              <w:tcW w:w="0" w:type="auto"/>
                              <w:shd w:val="clear" w:color="auto" w:fill="FFFFFF"/>
                              <w:hideMark/>
                            </w:tcPr>
                            <w:p w14:paraId="595422EC"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0BCC9A45"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4346F713"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14815B9D" w14:textId="77777777" w:rsidR="00563987" w:rsidRPr="00563987" w:rsidRDefault="00563987" w:rsidP="00563987">
                              <w:pPr>
                                <w:rPr>
                                  <w:rFonts w:eastAsiaTheme="minorHAnsi"/>
                                </w:rPr>
                              </w:pPr>
                              <w:r w:rsidRPr="00563987">
                                <w:rPr>
                                  <w:rFonts w:eastAsiaTheme="minorHAnsi"/>
                                </w:rPr>
                                <w:t> </w:t>
                              </w:r>
                            </w:p>
                          </w:tc>
                        </w:tr>
                        <w:tr w:rsidR="00563987" w:rsidRPr="00563987" w14:paraId="33218B1C" w14:textId="77777777">
                          <w:trPr>
                            <w:tblCellSpacing w:w="7" w:type="dxa"/>
                          </w:trPr>
                          <w:tc>
                            <w:tcPr>
                              <w:tcW w:w="0" w:type="auto"/>
                              <w:shd w:val="clear" w:color="auto" w:fill="FFFFFF"/>
                              <w:hideMark/>
                            </w:tcPr>
                            <w:p w14:paraId="55AAE383"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1/2</w:t>
                              </w:r>
                              <w:r w:rsidRPr="00563987">
                                <w:rPr>
                                  <w:rFonts w:eastAsiaTheme="minorHAnsi"/>
                                </w:rPr>
                                <w:t xml:space="preserve"> </w:t>
                              </w:r>
                              <w:r w:rsidRPr="00563987">
                                <w:rPr>
                                  <w:rFonts w:eastAsiaTheme="minorHAnsi"/>
                                </w:rPr>
                                <w:br/>
                                <w:t> </w:t>
                              </w:r>
                            </w:p>
                          </w:tc>
                          <w:tc>
                            <w:tcPr>
                              <w:tcW w:w="0" w:type="auto"/>
                              <w:shd w:val="clear" w:color="auto" w:fill="FFFFFF"/>
                              <w:hideMark/>
                            </w:tcPr>
                            <w:p w14:paraId="17E6FF3F" w14:textId="77777777" w:rsidR="00563987" w:rsidRPr="00563987" w:rsidRDefault="00563987" w:rsidP="00563987">
                              <w:pPr>
                                <w:rPr>
                                  <w:rFonts w:eastAsiaTheme="minorHAnsi"/>
                                </w:rPr>
                              </w:pPr>
                              <w:proofErr w:type="spellStart"/>
                              <w:r w:rsidRPr="00563987">
                                <w:rPr>
                                  <w:rFonts w:eastAsiaTheme="minorHAnsi"/>
                                </w:rPr>
                                <w:t>hr</w:t>
                              </w:r>
                              <w:proofErr w:type="spellEnd"/>
                            </w:p>
                          </w:tc>
                          <w:tc>
                            <w:tcPr>
                              <w:tcW w:w="0" w:type="auto"/>
                              <w:shd w:val="clear" w:color="auto" w:fill="FFFFFF"/>
                              <w:hideMark/>
                            </w:tcPr>
                            <w:p w14:paraId="13DAC185" w14:textId="77777777" w:rsidR="00563987" w:rsidRPr="00563987" w:rsidRDefault="00563987" w:rsidP="00563987">
                              <w:pPr>
                                <w:rPr>
                                  <w:rFonts w:eastAsiaTheme="minorHAnsi"/>
                                </w:rPr>
                              </w:pPr>
                              <w:r w:rsidRPr="00563987">
                                <w:rPr>
                                  <w:rFonts w:eastAsiaTheme="minorHAnsi"/>
                                </w:rPr>
                                <w:t>8.47</w:t>
                              </w:r>
                            </w:p>
                          </w:tc>
                          <w:tc>
                            <w:tcPr>
                              <w:tcW w:w="0" w:type="auto"/>
                              <w:shd w:val="clear" w:color="auto" w:fill="FFFFFF"/>
                              <w:hideMark/>
                            </w:tcPr>
                            <w:p w14:paraId="4A3ED68B" w14:textId="77777777" w:rsidR="00563987" w:rsidRPr="00563987" w:rsidRDefault="00563987" w:rsidP="00563987">
                              <w:pPr>
                                <w:rPr>
                                  <w:rFonts w:eastAsiaTheme="minorHAnsi"/>
                                </w:rPr>
                              </w:pPr>
                              <w:r w:rsidRPr="00563987">
                                <w:rPr>
                                  <w:rFonts w:eastAsiaTheme="minorHAnsi"/>
                                </w:rPr>
                                <w:t>8.33</w:t>
                              </w:r>
                            </w:p>
                          </w:tc>
                          <w:tc>
                            <w:tcPr>
                              <w:tcW w:w="0" w:type="auto"/>
                              <w:shd w:val="clear" w:color="auto" w:fill="FFFFFF"/>
                              <w:hideMark/>
                            </w:tcPr>
                            <w:p w14:paraId="67B97A6B" w14:textId="77777777" w:rsidR="00563987" w:rsidRPr="00563987" w:rsidRDefault="00563987" w:rsidP="00563987">
                              <w:pPr>
                                <w:rPr>
                                  <w:rFonts w:eastAsiaTheme="minorHAnsi"/>
                                </w:rPr>
                              </w:pPr>
                              <w:r w:rsidRPr="00563987">
                                <w:rPr>
                                  <w:rFonts w:eastAsiaTheme="minorHAnsi"/>
                                </w:rPr>
                                <w:t>101.7</w:t>
                              </w:r>
                            </w:p>
                          </w:tc>
                          <w:tc>
                            <w:tcPr>
                              <w:tcW w:w="0" w:type="auto"/>
                              <w:shd w:val="clear" w:color="auto" w:fill="FFFFFF"/>
                              <w:hideMark/>
                            </w:tcPr>
                            <w:p w14:paraId="519A589A"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2945DDD8"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85C6F66"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0D2A8449" w14:textId="77777777" w:rsidR="00563987" w:rsidRPr="00563987" w:rsidRDefault="00563987" w:rsidP="00563987">
                              <w:pPr>
                                <w:rPr>
                                  <w:rFonts w:eastAsiaTheme="minorHAnsi"/>
                                </w:rPr>
                              </w:pPr>
                              <w:r w:rsidRPr="00563987">
                                <w:rPr>
                                  <w:rFonts w:eastAsiaTheme="minorHAnsi"/>
                                </w:rPr>
                                <w:t> </w:t>
                              </w:r>
                            </w:p>
                          </w:tc>
                        </w:tr>
                      </w:tbl>
                      <w:p w14:paraId="28E2798E" w14:textId="77777777" w:rsidR="00563987" w:rsidRPr="00563987" w:rsidRDefault="00563987" w:rsidP="00563987">
                        <w:pPr>
                          <w:rPr>
                            <w:rFonts w:eastAsiaTheme="minorHAnsi"/>
                          </w:rPr>
                        </w:pPr>
                      </w:p>
                    </w:tc>
                  </w:tr>
                  <w:tr w:rsidR="00563987" w:rsidRPr="00563987" w14:paraId="48B1FC2C" w14:textId="77777777">
                    <w:trPr>
                      <w:tblCellSpacing w:w="0" w:type="dxa"/>
                    </w:trPr>
                    <w:tc>
                      <w:tcPr>
                        <w:tcW w:w="0" w:type="auto"/>
                        <w:shd w:val="clear" w:color="auto" w:fill="FFFFFF"/>
                        <w:vAlign w:val="center"/>
                        <w:hideMark/>
                      </w:tcPr>
                      <w:p w14:paraId="187B88B5" w14:textId="77777777" w:rsidR="00563987" w:rsidRPr="00563987" w:rsidRDefault="00563987" w:rsidP="00563987">
                        <w:pPr>
                          <w:rPr>
                            <w:rFonts w:eastAsiaTheme="minorHAnsi"/>
                          </w:rPr>
                        </w:pPr>
                        <w:bookmarkStart w:id="138" w:name="2481831"/>
                        <w:bookmarkEnd w:id="138"/>
                      </w:p>
                      <w:p w14:paraId="56384B6A" w14:textId="77777777" w:rsidR="00563987" w:rsidRPr="00563987" w:rsidRDefault="00563987" w:rsidP="00563987">
                        <w:pPr>
                          <w:rPr>
                            <w:rFonts w:eastAsiaTheme="minorHAnsi"/>
                          </w:rPr>
                        </w:pPr>
                        <w:r w:rsidRPr="00563987">
                          <w:rPr>
                            <w:rFonts w:eastAsiaTheme="minorHAnsi"/>
                          </w:rPr>
                          <w:t>The results were obtained from a two-way, crossover, single-dose study in 36 fasted, healthy, adult male and female volunteers. No statistical differences were observed for the mean values between Test and Reference products.</w:t>
                        </w:r>
                      </w:p>
                    </w:tc>
                  </w:tr>
                </w:tbl>
                <w:p w14:paraId="6F23F594" w14:textId="77777777" w:rsidR="00563987" w:rsidRPr="00563987" w:rsidRDefault="00563987" w:rsidP="00563987">
                  <w:pPr>
                    <w:rPr>
                      <w:rFonts w:eastAsiaTheme="minorHAnsi"/>
                      <w:vanish/>
                    </w:rPr>
                  </w:pPr>
                  <w:bookmarkStart w:id="139" w:name="2481879"/>
                  <w:bookmarkEnd w:id="139"/>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899"/>
                  </w:tblGrid>
                  <w:tr w:rsidR="00563987" w:rsidRPr="00563987" w14:paraId="2C8E25A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871"/>
                        </w:tblGrid>
                        <w:tr w:rsidR="00563987" w:rsidRPr="00563987" w14:paraId="4E4C926B" w14:textId="77777777">
                          <w:trPr>
                            <w:tblCellSpacing w:w="7" w:type="dxa"/>
                          </w:trPr>
                          <w:tc>
                            <w:tcPr>
                              <w:tcW w:w="0" w:type="auto"/>
                              <w:shd w:val="clear" w:color="auto" w:fill="CCCCCC"/>
                              <w:vAlign w:val="center"/>
                              <w:hideMark/>
                            </w:tcPr>
                            <w:p w14:paraId="5191278D" w14:textId="77777777" w:rsidR="00563987" w:rsidRPr="00563987" w:rsidRDefault="00563987" w:rsidP="00563987">
                              <w:pPr>
                                <w:rPr>
                                  <w:rFonts w:eastAsiaTheme="minorHAnsi"/>
                                </w:rPr>
                              </w:pPr>
                              <w:r w:rsidRPr="00563987">
                                <w:rPr>
                                  <w:rFonts w:eastAsiaTheme="minorHAnsi"/>
                                </w:rPr>
                                <w:t>Figure 15-8.</w:t>
                              </w:r>
                            </w:p>
                            <w:p w14:paraId="48A71E92" w14:textId="77777777" w:rsidR="00563987" w:rsidRPr="00563987" w:rsidRDefault="00563987" w:rsidP="00563987">
                              <w:pPr>
                                <w:rPr>
                                  <w:rFonts w:eastAsiaTheme="minorHAnsi"/>
                                </w:rPr>
                              </w:pPr>
                            </w:p>
                          </w:tc>
                        </w:tr>
                      </w:tbl>
                      <w:p w14:paraId="6A99E25E" w14:textId="77777777" w:rsidR="00563987" w:rsidRPr="00563987" w:rsidRDefault="00563987" w:rsidP="00563987">
                        <w:pPr>
                          <w:rPr>
                            <w:rFonts w:eastAsiaTheme="minorHAnsi"/>
                          </w:rPr>
                        </w:pPr>
                      </w:p>
                    </w:tc>
                  </w:tr>
                  <w:tr w:rsidR="00563987" w:rsidRPr="00563987" w14:paraId="23298AF3"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871"/>
                        </w:tblGrid>
                        <w:tr w:rsidR="00563987" w:rsidRPr="00563987" w14:paraId="06FBCF2D" w14:textId="77777777">
                          <w:trPr>
                            <w:tblCellSpacing w:w="7" w:type="dxa"/>
                          </w:trPr>
                          <w:tc>
                            <w:tcPr>
                              <w:tcW w:w="0" w:type="auto"/>
                              <w:shd w:val="clear" w:color="auto" w:fill="FFFFFF"/>
                              <w:vAlign w:val="center"/>
                              <w:hideMark/>
                            </w:tcPr>
                            <w:p w14:paraId="6446B0DC" w14:textId="78B9783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D513977" wp14:editId="5FE1E921">
                                        <wp:extent cx="304800" cy="304800"/>
                                        <wp:effectExtent l="0" t="0" r="0" b="0"/>
                                        <wp:docPr id="828947282"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02957" id="Rectangle 1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2A45B069" w14:textId="77777777">
                          <w:trPr>
                            <w:tblCellSpacing w:w="7" w:type="dxa"/>
                          </w:trPr>
                          <w:tc>
                            <w:tcPr>
                              <w:tcW w:w="0" w:type="auto"/>
                              <w:shd w:val="clear" w:color="auto" w:fill="FFFFFF"/>
                              <w:vAlign w:val="center"/>
                              <w:hideMark/>
                            </w:tcPr>
                            <w:p w14:paraId="0547B05E" w14:textId="77777777" w:rsidR="00563987" w:rsidRPr="00563987" w:rsidRDefault="00563987" w:rsidP="00563987">
                              <w:pPr>
                                <w:rPr>
                                  <w:rFonts w:eastAsiaTheme="minorHAnsi"/>
                                </w:rPr>
                              </w:pPr>
                              <w:bookmarkStart w:id="140" w:name="2481880"/>
                              <w:bookmarkEnd w:id="140"/>
                              <w:r w:rsidRPr="00563987">
                                <w:rPr>
                                  <w:rFonts w:eastAsiaTheme="minorHAnsi"/>
                                </w:rPr>
                                <w:t>Bioequivalence of Test and Reference drug products: mean plasma drug concentrations.</w:t>
                              </w:r>
                            </w:p>
                          </w:tc>
                        </w:tr>
                      </w:tbl>
                      <w:p w14:paraId="4E8D70B4" w14:textId="77777777" w:rsidR="00563987" w:rsidRPr="00563987" w:rsidRDefault="00563987" w:rsidP="00563987">
                        <w:pPr>
                          <w:rPr>
                            <w:rFonts w:eastAsiaTheme="minorHAnsi"/>
                          </w:rPr>
                        </w:pPr>
                      </w:p>
                    </w:tc>
                  </w:tr>
                </w:tbl>
                <w:p w14:paraId="0BC452CA" w14:textId="77777777" w:rsidR="00563987" w:rsidRPr="00563987" w:rsidRDefault="00563987" w:rsidP="00563987">
                  <w:pPr>
                    <w:rPr>
                      <w:rFonts w:eastAsiaTheme="minorHAnsi"/>
                    </w:rPr>
                  </w:pPr>
                  <w:bookmarkStart w:id="141" w:name="2481744"/>
                  <w:bookmarkEnd w:id="141"/>
                </w:p>
                <w:p w14:paraId="05A8BFF1" w14:textId="77777777" w:rsidR="00563987" w:rsidRPr="00563987" w:rsidRDefault="00563987" w:rsidP="00563987">
                  <w:pPr>
                    <w:rPr>
                      <w:rFonts w:eastAsiaTheme="minorHAnsi"/>
                    </w:rPr>
                  </w:pPr>
                  <w:r w:rsidRPr="00563987">
                    <w:rPr>
                      <w:rFonts w:eastAsiaTheme="minorHAnsi"/>
                    </w:rPr>
                    <w:t>shows the results for a hypothetical bioavailability study in which three different tablet formulations were compared to a solution of the drug given in the same dose. As shown in the table, the bioavailability from all three tablet formulations was greater than 80% of that of the solution. According to the ANOVA, the mean AUC values were not statistically different from each other nor different from that of the solution. However, the 90% confidence interval for the AUC showed that for tablet A, the bioavailability was less than 80% (</w:t>
                  </w:r>
                  <w:proofErr w:type="spellStart"/>
                  <w:r w:rsidRPr="00563987">
                    <w:rPr>
                      <w:rFonts w:eastAsiaTheme="minorHAnsi"/>
                    </w:rPr>
                    <w:t>ie</w:t>
                  </w:r>
                  <w:proofErr w:type="spellEnd"/>
                  <w:r w:rsidRPr="00563987">
                    <w:rPr>
                      <w:rFonts w:eastAsiaTheme="minorHAnsi"/>
                    </w:rPr>
                    <w:t>, 74%), compared to the solution at the low-range estimate and would not be considered bioequivalent based on AUC.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04"/>
                  </w:tblGrid>
                  <w:tr w:rsidR="00563987" w:rsidRPr="00563987" w14:paraId="4FA5B953"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74"/>
                        </w:tblGrid>
                        <w:tr w:rsidR="00563987" w:rsidRPr="00563987" w14:paraId="3568B1FD" w14:textId="77777777">
                          <w:trPr>
                            <w:tblCellSpacing w:w="0" w:type="dxa"/>
                          </w:trPr>
                          <w:tc>
                            <w:tcPr>
                              <w:tcW w:w="0" w:type="auto"/>
                              <w:vAlign w:val="center"/>
                              <w:hideMark/>
                            </w:tcPr>
                            <w:p w14:paraId="35D828A3" w14:textId="77777777" w:rsidR="00563987" w:rsidRPr="00563987" w:rsidRDefault="00563987" w:rsidP="00563987">
                              <w:pPr>
                                <w:rPr>
                                  <w:rFonts w:eastAsiaTheme="minorHAnsi"/>
                                </w:rPr>
                              </w:pPr>
                              <w:bookmarkStart w:id="142" w:name="2481832"/>
                              <w:bookmarkEnd w:id="142"/>
                              <w:r w:rsidRPr="00563987">
                                <w:rPr>
                                  <w:rFonts w:eastAsiaTheme="minorHAnsi"/>
                                </w:rPr>
                                <w:lastRenderedPageBreak/>
                                <w:t xml:space="preserve">Table 15.6 Summary of the Results of a Bioavailability </w:t>
                              </w:r>
                              <w:proofErr w:type="spellStart"/>
                              <w:r w:rsidRPr="00563987">
                                <w:rPr>
                                  <w:rFonts w:eastAsiaTheme="minorHAnsi"/>
                                </w:rPr>
                                <w:t>Study</w:t>
                              </w:r>
                              <w:r w:rsidRPr="00563987">
                                <w:rPr>
                                  <w:rFonts w:eastAsiaTheme="minorHAnsi"/>
                                  <w:vertAlign w:val="superscript"/>
                                </w:rPr>
                                <w:t>a</w:t>
                              </w:r>
                              <w:proofErr w:type="spellEnd"/>
                              <w:r w:rsidRPr="00563987">
                                <w:rPr>
                                  <w:rFonts w:eastAsiaTheme="minorHAnsi"/>
                                </w:rPr>
                                <w:t xml:space="preserve"> </w:t>
                              </w:r>
                            </w:p>
                            <w:p w14:paraId="409BD5DF" w14:textId="77777777" w:rsidR="00563987" w:rsidRPr="00563987" w:rsidRDefault="00563987" w:rsidP="00563987">
                              <w:pPr>
                                <w:rPr>
                                  <w:rFonts w:eastAsiaTheme="minorHAnsi"/>
                                </w:rPr>
                              </w:pPr>
                            </w:p>
                          </w:tc>
                        </w:tr>
                      </w:tbl>
                      <w:p w14:paraId="0C8118EB" w14:textId="77777777" w:rsidR="00563987" w:rsidRPr="00563987" w:rsidRDefault="00563987" w:rsidP="00563987">
                        <w:pPr>
                          <w:rPr>
                            <w:rFonts w:eastAsiaTheme="minorHAnsi"/>
                          </w:rPr>
                        </w:pPr>
                      </w:p>
                    </w:tc>
                  </w:tr>
                  <w:tr w:rsidR="00563987" w:rsidRPr="00563987" w14:paraId="774523BA"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384"/>
                          <w:gridCol w:w="1772"/>
                          <w:gridCol w:w="1009"/>
                          <w:gridCol w:w="2352"/>
                          <w:gridCol w:w="389"/>
                          <w:gridCol w:w="3398"/>
                        </w:tblGrid>
                        <w:tr w:rsidR="00563987" w:rsidRPr="00563987" w14:paraId="23A62524" w14:textId="77777777">
                          <w:trPr>
                            <w:tblHeader/>
                            <w:tblCellSpacing w:w="7" w:type="dxa"/>
                          </w:trPr>
                          <w:tc>
                            <w:tcPr>
                              <w:tcW w:w="0" w:type="auto"/>
                              <w:shd w:val="clear" w:color="auto" w:fill="FFFFFF"/>
                              <w:hideMark/>
                            </w:tcPr>
                            <w:p w14:paraId="23C389B5" w14:textId="77777777" w:rsidR="00563987" w:rsidRPr="00563987" w:rsidRDefault="00563987" w:rsidP="00563987">
                              <w:pPr>
                                <w:rPr>
                                  <w:rFonts w:eastAsiaTheme="minorHAnsi"/>
                                  <w:b/>
                                  <w:bCs/>
                                </w:rPr>
                              </w:pPr>
                              <w:r w:rsidRPr="00563987">
                                <w:rPr>
                                  <w:rFonts w:eastAsiaTheme="minorHAnsi"/>
                                  <w:b/>
                                  <w:bCs/>
                                </w:rPr>
                                <w:t>Dosage Form</w:t>
                              </w:r>
                            </w:p>
                          </w:tc>
                          <w:tc>
                            <w:tcPr>
                              <w:tcW w:w="0" w:type="auto"/>
                              <w:shd w:val="clear" w:color="auto" w:fill="FFFFFF"/>
                              <w:hideMark/>
                            </w:tcPr>
                            <w:p w14:paraId="1F86B574" w14:textId="13D13418" w:rsidR="00563987" w:rsidRPr="00563987" w:rsidRDefault="00563987" w:rsidP="00563987">
                              <w:pPr>
                                <w:rPr>
                                  <w:rFonts w:eastAsiaTheme="minorHAnsi"/>
                                  <w:b/>
                                  <w:bCs/>
                                </w:rPr>
                              </w:pPr>
                              <w:r w:rsidRPr="00563987">
                                <w:rPr>
                                  <w:rFonts w:eastAsiaTheme="minorHAnsi"/>
                                  <w:b/>
                                  <w:bCs/>
                                  <w:i/>
                                  <w:iCs/>
                                </w:rPr>
                                <w:t>C</w:t>
                              </w:r>
                              <w:r w:rsidRPr="00563987">
                                <w:rPr>
                                  <w:rFonts w:eastAsiaTheme="minorHAnsi"/>
                                  <w:b/>
                                  <w:bCs/>
                                </w:rPr>
                                <w:t xml:space="preserve"> </w:t>
                              </w:r>
                              <w:r w:rsidRPr="00563987">
                                <w:rPr>
                                  <w:rFonts w:eastAsiaTheme="minorHAnsi"/>
                                  <w:b/>
                                  <w:bCs/>
                                  <w:vertAlign w:val="subscript"/>
                                </w:rPr>
                                <w:t>max</w:t>
                              </w:r>
                              <w:r w:rsidRPr="00563987">
                                <w:rPr>
                                  <w:rFonts w:eastAsiaTheme="minorHAnsi"/>
                                  <w:b/>
                                  <w:bCs/>
                                </w:rPr>
                                <w:t xml:space="preserve"> (</w:t>
                              </w:r>
                              <w:r w:rsidRPr="00563987">
                                <w:rPr>
                                  <w:rFonts w:eastAsiaTheme="minorHAnsi"/>
                                  <w:b/>
                                  <w:bCs/>
                                  <w:noProof/>
                                </w:rPr>
                                <mc:AlternateContent>
                                  <mc:Choice Requires="wps">
                                    <w:drawing>
                                      <wp:inline distT="0" distB="0" distL="0" distR="0" wp14:anchorId="70166C16" wp14:editId="4B263522">
                                        <wp:extent cx="304800" cy="304800"/>
                                        <wp:effectExtent l="0" t="0" r="0" b="0"/>
                                        <wp:docPr id="457502986"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0FA2E" id="Rectangle 1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g/mL)</w:t>
                              </w:r>
                              <w:r w:rsidRPr="00563987">
                                <w:rPr>
                                  <w:rFonts w:eastAsiaTheme="minorHAnsi"/>
                                  <w:b/>
                                  <w:bCs/>
                                </w:rPr>
                                <w:br/>
                                <w:t> </w:t>
                              </w:r>
                            </w:p>
                          </w:tc>
                          <w:tc>
                            <w:tcPr>
                              <w:tcW w:w="0" w:type="auto"/>
                              <w:shd w:val="clear" w:color="auto" w:fill="FFFFFF"/>
                              <w:hideMark/>
                            </w:tcPr>
                            <w:p w14:paraId="0DEBEEAC" w14:textId="77777777" w:rsidR="00563987" w:rsidRPr="00563987" w:rsidRDefault="00563987" w:rsidP="00563987">
                              <w:pPr>
                                <w:rPr>
                                  <w:rFonts w:eastAsiaTheme="minorHAnsi"/>
                                  <w:b/>
                                  <w:bCs/>
                                </w:rPr>
                              </w:pPr>
                              <w:r w:rsidRPr="00563987">
                                <w:rPr>
                                  <w:rFonts w:eastAsiaTheme="minorHAnsi"/>
                                  <w:b/>
                                  <w:bCs/>
                                  <w:i/>
                                  <w:iCs/>
                                </w:rPr>
                                <w:t>t</w:t>
                              </w:r>
                              <w:r w:rsidRPr="00563987">
                                <w:rPr>
                                  <w:rFonts w:eastAsiaTheme="minorHAnsi"/>
                                  <w:b/>
                                  <w:bCs/>
                                </w:rPr>
                                <w:t xml:space="preserve"> </w:t>
                              </w:r>
                              <w:r w:rsidRPr="00563987">
                                <w:rPr>
                                  <w:rFonts w:eastAsiaTheme="minorHAnsi"/>
                                  <w:b/>
                                  <w:bCs/>
                                  <w:vertAlign w:val="subscript"/>
                                </w:rPr>
                                <w:t xml:space="preserve">max </w:t>
                              </w:r>
                              <w:r w:rsidRPr="00563987">
                                <w:rPr>
                                  <w:rFonts w:eastAsiaTheme="minorHAnsi"/>
                                  <w:b/>
                                  <w:bCs/>
                                </w:rPr>
                                <w:t>(</w:t>
                              </w:r>
                              <w:proofErr w:type="spellStart"/>
                              <w:r w:rsidRPr="00563987">
                                <w:rPr>
                                  <w:rFonts w:eastAsiaTheme="minorHAnsi"/>
                                  <w:b/>
                                  <w:bCs/>
                                </w:rPr>
                                <w:t>hr</w:t>
                              </w:r>
                              <w:proofErr w:type="spellEnd"/>
                              <w:r w:rsidRPr="00563987">
                                <w:rPr>
                                  <w:rFonts w:eastAsiaTheme="minorHAnsi"/>
                                  <w:b/>
                                  <w:bCs/>
                                </w:rPr>
                                <w:t>)</w:t>
                              </w:r>
                              <w:r w:rsidRPr="00563987">
                                <w:rPr>
                                  <w:rFonts w:eastAsiaTheme="minorHAnsi"/>
                                  <w:b/>
                                  <w:bCs/>
                                </w:rPr>
                                <w:br/>
                                <w:t> </w:t>
                              </w:r>
                            </w:p>
                          </w:tc>
                          <w:tc>
                            <w:tcPr>
                              <w:tcW w:w="0" w:type="auto"/>
                              <w:shd w:val="clear" w:color="auto" w:fill="FFFFFF"/>
                              <w:hideMark/>
                            </w:tcPr>
                            <w:p w14:paraId="2F2FF38F" w14:textId="50C67F53" w:rsidR="00563987" w:rsidRPr="00563987" w:rsidRDefault="00563987" w:rsidP="00563987">
                              <w:pPr>
                                <w:rPr>
                                  <w:rFonts w:eastAsiaTheme="minorHAnsi"/>
                                  <w:b/>
                                  <w:bCs/>
                                </w:rPr>
                              </w:pPr>
                              <w:r w:rsidRPr="00563987">
                                <w:rPr>
                                  <w:rFonts w:eastAsiaTheme="minorHAnsi"/>
                                  <w:b/>
                                  <w:bCs/>
                                </w:rPr>
                                <w:t>AUC</w:t>
                              </w:r>
                              <w:r w:rsidRPr="00563987">
                                <w:rPr>
                                  <w:rFonts w:eastAsiaTheme="minorHAnsi"/>
                                  <w:b/>
                                  <w:bCs/>
                                  <w:vertAlign w:val="subscript"/>
                                </w:rPr>
                                <w:t>0–24</w:t>
                              </w:r>
                              <w:r w:rsidRPr="00563987">
                                <w:rPr>
                                  <w:rFonts w:eastAsiaTheme="minorHAnsi"/>
                                  <w:b/>
                                  <w:bCs/>
                                </w:rPr>
                                <w:t xml:space="preserve"> (</w:t>
                              </w:r>
                              <w:r w:rsidRPr="00563987">
                                <w:rPr>
                                  <w:rFonts w:eastAsiaTheme="minorHAnsi"/>
                                  <w:b/>
                                  <w:bCs/>
                                  <w:noProof/>
                                </w:rPr>
                                <mc:AlternateContent>
                                  <mc:Choice Requires="wps">
                                    <w:drawing>
                                      <wp:inline distT="0" distB="0" distL="0" distR="0" wp14:anchorId="273D6A60" wp14:editId="201495E0">
                                        <wp:extent cx="304800" cy="304800"/>
                                        <wp:effectExtent l="0" t="0" r="0" b="0"/>
                                        <wp:docPr id="1347330748"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5DAA6" id="Rectangle 1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b/>
                                  <w:bCs/>
                                </w:rPr>
                                <w:t xml:space="preserve">g </w:t>
                              </w:r>
                              <w:proofErr w:type="spellStart"/>
                              <w:r w:rsidRPr="00563987">
                                <w:rPr>
                                  <w:rFonts w:eastAsiaTheme="minorHAnsi"/>
                                  <w:b/>
                                  <w:bCs/>
                                </w:rPr>
                                <w:t>hr</w:t>
                              </w:r>
                              <w:proofErr w:type="spellEnd"/>
                              <w:r w:rsidRPr="00563987">
                                <w:rPr>
                                  <w:rFonts w:eastAsiaTheme="minorHAnsi"/>
                                  <w:b/>
                                  <w:bCs/>
                                </w:rPr>
                                <w:t>/mL)</w:t>
                              </w:r>
                              <w:r w:rsidRPr="00563987">
                                <w:rPr>
                                  <w:rFonts w:eastAsiaTheme="minorHAnsi"/>
                                  <w:b/>
                                  <w:bCs/>
                                </w:rPr>
                                <w:br/>
                                <w:t> </w:t>
                              </w:r>
                            </w:p>
                          </w:tc>
                          <w:tc>
                            <w:tcPr>
                              <w:tcW w:w="0" w:type="auto"/>
                              <w:shd w:val="clear" w:color="auto" w:fill="FFFFFF"/>
                              <w:hideMark/>
                            </w:tcPr>
                            <w:p w14:paraId="5D9F7BD4" w14:textId="77777777" w:rsidR="00563987" w:rsidRPr="00563987" w:rsidRDefault="00563987" w:rsidP="00563987">
                              <w:pPr>
                                <w:rPr>
                                  <w:rFonts w:eastAsiaTheme="minorHAnsi"/>
                                  <w:b/>
                                  <w:bCs/>
                                </w:rPr>
                              </w:pPr>
                              <w:r w:rsidRPr="00563987">
                                <w:rPr>
                                  <w:rFonts w:eastAsiaTheme="minorHAnsi"/>
                                  <w:b/>
                                  <w:bCs/>
                                  <w:i/>
                                  <w:iCs/>
                                </w:rPr>
                                <w:t>F</w:t>
                              </w:r>
                              <w:r w:rsidRPr="00563987">
                                <w:rPr>
                                  <w:rFonts w:eastAsiaTheme="minorHAnsi"/>
                                  <w:b/>
                                  <w:bCs/>
                                </w:rPr>
                                <w:t xml:space="preserve"> </w:t>
                              </w:r>
                              <w:r w:rsidRPr="00563987">
                                <w:rPr>
                                  <w:rFonts w:eastAsiaTheme="minorHAnsi"/>
                                  <w:b/>
                                  <w:bCs/>
                                  <w:vertAlign w:val="superscript"/>
                                </w:rPr>
                                <w:t>b</w:t>
                              </w:r>
                              <w:r w:rsidRPr="00563987">
                                <w:rPr>
                                  <w:rFonts w:eastAsiaTheme="minorHAnsi"/>
                                  <w:b/>
                                  <w:bCs/>
                                </w:rPr>
                                <w:t xml:space="preserve"> </w:t>
                              </w:r>
                              <w:r w:rsidRPr="00563987">
                                <w:rPr>
                                  <w:rFonts w:eastAsiaTheme="minorHAnsi"/>
                                  <w:b/>
                                  <w:bCs/>
                                </w:rPr>
                                <w:br/>
                                <w:t> </w:t>
                              </w:r>
                            </w:p>
                          </w:tc>
                          <w:tc>
                            <w:tcPr>
                              <w:tcW w:w="0" w:type="auto"/>
                              <w:shd w:val="clear" w:color="auto" w:fill="FFFFFF"/>
                              <w:hideMark/>
                            </w:tcPr>
                            <w:p w14:paraId="4A5E6DC6" w14:textId="77777777" w:rsidR="00563987" w:rsidRPr="00563987" w:rsidRDefault="00563987" w:rsidP="00563987">
                              <w:pPr>
                                <w:rPr>
                                  <w:rFonts w:eastAsiaTheme="minorHAnsi"/>
                                  <w:b/>
                                  <w:bCs/>
                                </w:rPr>
                              </w:pPr>
                              <w:r w:rsidRPr="00563987">
                                <w:rPr>
                                  <w:rFonts w:eastAsiaTheme="minorHAnsi"/>
                                  <w:b/>
                                  <w:bCs/>
                                </w:rPr>
                                <w:t>90% Confidence Interval for AUC</w:t>
                              </w:r>
                            </w:p>
                          </w:tc>
                        </w:tr>
                        <w:tr w:rsidR="00563987" w:rsidRPr="00563987" w14:paraId="678174FB" w14:textId="77777777">
                          <w:trPr>
                            <w:tblCellSpacing w:w="7" w:type="dxa"/>
                          </w:trPr>
                          <w:tc>
                            <w:tcPr>
                              <w:tcW w:w="0" w:type="auto"/>
                              <w:shd w:val="clear" w:color="auto" w:fill="FFFFFF"/>
                              <w:hideMark/>
                            </w:tcPr>
                            <w:p w14:paraId="37EB923F" w14:textId="77777777" w:rsidR="00563987" w:rsidRPr="00563987" w:rsidRDefault="00563987" w:rsidP="00563987">
                              <w:pPr>
                                <w:rPr>
                                  <w:rFonts w:eastAsiaTheme="minorHAnsi"/>
                                </w:rPr>
                              </w:pPr>
                              <w:r w:rsidRPr="00563987">
                                <w:rPr>
                                  <w:rFonts w:eastAsiaTheme="minorHAnsi"/>
                                </w:rPr>
                                <w:t>Solution</w:t>
                              </w:r>
                            </w:p>
                          </w:tc>
                          <w:tc>
                            <w:tcPr>
                              <w:tcW w:w="0" w:type="auto"/>
                              <w:shd w:val="clear" w:color="auto" w:fill="FFFFFF"/>
                              <w:hideMark/>
                            </w:tcPr>
                            <w:p w14:paraId="63564F41" w14:textId="77777777" w:rsidR="00563987" w:rsidRPr="00563987" w:rsidRDefault="00563987" w:rsidP="00563987">
                              <w:pPr>
                                <w:rPr>
                                  <w:rFonts w:eastAsiaTheme="minorHAnsi"/>
                                </w:rPr>
                              </w:pPr>
                              <w:r w:rsidRPr="00563987">
                                <w:rPr>
                                  <w:rFonts w:eastAsiaTheme="minorHAnsi"/>
                                </w:rPr>
                                <w:t>16.1 ± 2.5</w:t>
                              </w:r>
                            </w:p>
                          </w:tc>
                          <w:tc>
                            <w:tcPr>
                              <w:tcW w:w="0" w:type="auto"/>
                              <w:shd w:val="clear" w:color="auto" w:fill="FFFFFF"/>
                              <w:hideMark/>
                            </w:tcPr>
                            <w:p w14:paraId="012B5EB0" w14:textId="77777777" w:rsidR="00563987" w:rsidRPr="00563987" w:rsidRDefault="00563987" w:rsidP="00563987">
                              <w:pPr>
                                <w:rPr>
                                  <w:rFonts w:eastAsiaTheme="minorHAnsi"/>
                                </w:rPr>
                              </w:pPr>
                              <w:r w:rsidRPr="00563987">
                                <w:rPr>
                                  <w:rFonts w:eastAsiaTheme="minorHAnsi"/>
                                </w:rPr>
                                <w:t>1.5 ± 0.85</w:t>
                              </w:r>
                            </w:p>
                          </w:tc>
                          <w:tc>
                            <w:tcPr>
                              <w:tcW w:w="0" w:type="auto"/>
                              <w:shd w:val="clear" w:color="auto" w:fill="FFFFFF"/>
                              <w:hideMark/>
                            </w:tcPr>
                            <w:p w14:paraId="77DC32E4" w14:textId="77777777" w:rsidR="00563987" w:rsidRPr="00563987" w:rsidRDefault="00563987" w:rsidP="00563987">
                              <w:pPr>
                                <w:rPr>
                                  <w:rFonts w:eastAsiaTheme="minorHAnsi"/>
                                </w:rPr>
                              </w:pPr>
                              <w:r w:rsidRPr="00563987">
                                <w:rPr>
                                  <w:rFonts w:eastAsiaTheme="minorHAnsi"/>
                                </w:rPr>
                                <w:t>1835 ± 235</w:t>
                              </w:r>
                            </w:p>
                          </w:tc>
                          <w:tc>
                            <w:tcPr>
                              <w:tcW w:w="0" w:type="auto"/>
                              <w:shd w:val="clear" w:color="auto" w:fill="FFFFFF"/>
                              <w:hideMark/>
                            </w:tcPr>
                            <w:p w14:paraId="5599546E"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7648F239" w14:textId="77777777" w:rsidR="00563987" w:rsidRPr="00563987" w:rsidRDefault="00563987" w:rsidP="00563987">
                              <w:pPr>
                                <w:rPr>
                                  <w:rFonts w:eastAsiaTheme="minorHAnsi"/>
                                </w:rPr>
                              </w:pPr>
                              <w:r w:rsidRPr="00563987">
                                <w:rPr>
                                  <w:rFonts w:eastAsiaTheme="minorHAnsi"/>
                                </w:rPr>
                                <w:t> </w:t>
                              </w:r>
                            </w:p>
                          </w:tc>
                        </w:tr>
                        <w:tr w:rsidR="00563987" w:rsidRPr="00563987" w14:paraId="6874072E" w14:textId="77777777">
                          <w:trPr>
                            <w:tblCellSpacing w:w="7" w:type="dxa"/>
                          </w:trPr>
                          <w:tc>
                            <w:tcPr>
                              <w:tcW w:w="0" w:type="auto"/>
                              <w:shd w:val="clear" w:color="auto" w:fill="FFFFFF"/>
                              <w:hideMark/>
                            </w:tcPr>
                            <w:p w14:paraId="6C71C02F" w14:textId="77777777" w:rsidR="00563987" w:rsidRPr="00563987" w:rsidRDefault="00563987" w:rsidP="00563987">
                              <w:pPr>
                                <w:rPr>
                                  <w:rFonts w:eastAsiaTheme="minorHAnsi"/>
                                </w:rPr>
                              </w:pPr>
                              <w:r w:rsidRPr="00563987">
                                <w:rPr>
                                  <w:rFonts w:eastAsiaTheme="minorHAnsi"/>
                                </w:rPr>
                                <w:t>Tablet A</w:t>
                              </w:r>
                            </w:p>
                          </w:tc>
                          <w:tc>
                            <w:tcPr>
                              <w:tcW w:w="0" w:type="auto"/>
                              <w:shd w:val="clear" w:color="auto" w:fill="FFFFFF"/>
                              <w:hideMark/>
                            </w:tcPr>
                            <w:p w14:paraId="62E6C6B4" w14:textId="77777777" w:rsidR="00563987" w:rsidRPr="00563987" w:rsidRDefault="00563987" w:rsidP="00563987">
                              <w:pPr>
                                <w:rPr>
                                  <w:rFonts w:eastAsiaTheme="minorHAnsi"/>
                                </w:rPr>
                              </w:pPr>
                              <w:r w:rsidRPr="00563987">
                                <w:rPr>
                                  <w:rFonts w:eastAsiaTheme="minorHAnsi"/>
                                </w:rPr>
                                <w:t>10.5 ± 3.2</w:t>
                              </w:r>
                              <w:r w:rsidRPr="00563987">
                                <w:rPr>
                                  <w:rFonts w:eastAsiaTheme="minorHAnsi"/>
                                  <w:vertAlign w:val="superscript"/>
                                </w:rPr>
                                <w:t>c</w:t>
                              </w:r>
                              <w:r w:rsidRPr="00563987">
                                <w:rPr>
                                  <w:rFonts w:eastAsiaTheme="minorHAnsi"/>
                                </w:rPr>
                                <w:t xml:space="preserve"> </w:t>
                              </w:r>
                              <w:r w:rsidRPr="00563987">
                                <w:rPr>
                                  <w:rFonts w:eastAsiaTheme="minorHAnsi"/>
                                </w:rPr>
                                <w:br/>
                                <w:t> </w:t>
                              </w:r>
                            </w:p>
                          </w:tc>
                          <w:tc>
                            <w:tcPr>
                              <w:tcW w:w="0" w:type="auto"/>
                              <w:shd w:val="clear" w:color="auto" w:fill="FFFFFF"/>
                              <w:hideMark/>
                            </w:tcPr>
                            <w:p w14:paraId="4A61DC81" w14:textId="77777777" w:rsidR="00563987" w:rsidRPr="00563987" w:rsidRDefault="00563987" w:rsidP="00563987">
                              <w:pPr>
                                <w:rPr>
                                  <w:rFonts w:eastAsiaTheme="minorHAnsi"/>
                                </w:rPr>
                              </w:pPr>
                              <w:r w:rsidRPr="00563987">
                                <w:rPr>
                                  <w:rFonts w:eastAsiaTheme="minorHAnsi"/>
                                </w:rPr>
                                <w:t>2.5 ± 1.0</w:t>
                              </w:r>
                              <w:r w:rsidRPr="00563987">
                                <w:rPr>
                                  <w:rFonts w:eastAsiaTheme="minorHAnsi"/>
                                  <w:vertAlign w:val="superscript"/>
                                </w:rPr>
                                <w:t>c</w:t>
                              </w:r>
                              <w:r w:rsidRPr="00563987">
                                <w:rPr>
                                  <w:rFonts w:eastAsiaTheme="minorHAnsi"/>
                                </w:rPr>
                                <w:t xml:space="preserve"> </w:t>
                              </w:r>
                              <w:r w:rsidRPr="00563987">
                                <w:rPr>
                                  <w:rFonts w:eastAsiaTheme="minorHAnsi"/>
                                </w:rPr>
                                <w:br/>
                                <w:t> </w:t>
                              </w:r>
                            </w:p>
                          </w:tc>
                          <w:tc>
                            <w:tcPr>
                              <w:tcW w:w="0" w:type="auto"/>
                              <w:shd w:val="clear" w:color="auto" w:fill="FFFFFF"/>
                              <w:hideMark/>
                            </w:tcPr>
                            <w:p w14:paraId="27551708" w14:textId="77777777" w:rsidR="00563987" w:rsidRPr="00563987" w:rsidRDefault="00563987" w:rsidP="00563987">
                              <w:pPr>
                                <w:rPr>
                                  <w:rFonts w:eastAsiaTheme="minorHAnsi"/>
                                </w:rPr>
                              </w:pPr>
                              <w:r w:rsidRPr="00563987">
                                <w:rPr>
                                  <w:rFonts w:eastAsiaTheme="minorHAnsi"/>
                                </w:rPr>
                                <w:t>1523 ± 381</w:t>
                              </w:r>
                            </w:p>
                          </w:tc>
                          <w:tc>
                            <w:tcPr>
                              <w:tcW w:w="0" w:type="auto"/>
                              <w:shd w:val="clear" w:color="auto" w:fill="FFFFFF"/>
                              <w:hideMark/>
                            </w:tcPr>
                            <w:p w14:paraId="06616367" w14:textId="77777777" w:rsidR="00563987" w:rsidRPr="00563987" w:rsidRDefault="00563987" w:rsidP="00563987">
                              <w:pPr>
                                <w:rPr>
                                  <w:rFonts w:eastAsiaTheme="minorHAnsi"/>
                                </w:rPr>
                              </w:pPr>
                              <w:r w:rsidRPr="00563987">
                                <w:rPr>
                                  <w:rFonts w:eastAsiaTheme="minorHAnsi"/>
                                </w:rPr>
                                <w:t>81</w:t>
                              </w:r>
                            </w:p>
                          </w:tc>
                          <w:tc>
                            <w:tcPr>
                              <w:tcW w:w="0" w:type="auto"/>
                              <w:shd w:val="clear" w:color="auto" w:fill="FFFFFF"/>
                              <w:hideMark/>
                            </w:tcPr>
                            <w:p w14:paraId="612F238F" w14:textId="77777777" w:rsidR="00563987" w:rsidRPr="00563987" w:rsidRDefault="00563987" w:rsidP="00563987">
                              <w:pPr>
                                <w:rPr>
                                  <w:rFonts w:eastAsiaTheme="minorHAnsi"/>
                                </w:rPr>
                              </w:pPr>
                              <w:r w:rsidRPr="00563987">
                                <w:rPr>
                                  <w:rFonts w:eastAsiaTheme="minorHAnsi"/>
                                </w:rPr>
                                <w:t>74–90%</w:t>
                              </w:r>
                            </w:p>
                          </w:tc>
                        </w:tr>
                        <w:tr w:rsidR="00563987" w:rsidRPr="00563987" w14:paraId="4CF0115D" w14:textId="77777777">
                          <w:trPr>
                            <w:tblCellSpacing w:w="7" w:type="dxa"/>
                          </w:trPr>
                          <w:tc>
                            <w:tcPr>
                              <w:tcW w:w="0" w:type="auto"/>
                              <w:shd w:val="clear" w:color="auto" w:fill="FFFFFF"/>
                              <w:hideMark/>
                            </w:tcPr>
                            <w:p w14:paraId="46444E92" w14:textId="77777777" w:rsidR="00563987" w:rsidRPr="00563987" w:rsidRDefault="00563987" w:rsidP="00563987">
                              <w:pPr>
                                <w:rPr>
                                  <w:rFonts w:eastAsiaTheme="minorHAnsi"/>
                                </w:rPr>
                              </w:pPr>
                              <w:r w:rsidRPr="00563987">
                                <w:rPr>
                                  <w:rFonts w:eastAsiaTheme="minorHAnsi"/>
                                </w:rPr>
                                <w:t>Tablet B</w:t>
                              </w:r>
                            </w:p>
                          </w:tc>
                          <w:tc>
                            <w:tcPr>
                              <w:tcW w:w="0" w:type="auto"/>
                              <w:shd w:val="clear" w:color="auto" w:fill="FFFFFF"/>
                              <w:hideMark/>
                            </w:tcPr>
                            <w:p w14:paraId="45870F3B" w14:textId="77777777" w:rsidR="00563987" w:rsidRPr="00563987" w:rsidRDefault="00563987" w:rsidP="00563987">
                              <w:pPr>
                                <w:rPr>
                                  <w:rFonts w:eastAsiaTheme="minorHAnsi"/>
                                </w:rPr>
                              </w:pPr>
                              <w:r w:rsidRPr="00563987">
                                <w:rPr>
                                  <w:rFonts w:eastAsiaTheme="minorHAnsi"/>
                                </w:rPr>
                                <w:t>13.7 ± 4.1</w:t>
                              </w:r>
                            </w:p>
                          </w:tc>
                          <w:tc>
                            <w:tcPr>
                              <w:tcW w:w="0" w:type="auto"/>
                              <w:shd w:val="clear" w:color="auto" w:fill="FFFFFF"/>
                              <w:hideMark/>
                            </w:tcPr>
                            <w:p w14:paraId="69601C41" w14:textId="77777777" w:rsidR="00563987" w:rsidRPr="00563987" w:rsidRDefault="00563987" w:rsidP="00563987">
                              <w:pPr>
                                <w:rPr>
                                  <w:rFonts w:eastAsiaTheme="minorHAnsi"/>
                                </w:rPr>
                              </w:pPr>
                              <w:r w:rsidRPr="00563987">
                                <w:rPr>
                                  <w:rFonts w:eastAsiaTheme="minorHAnsi"/>
                                </w:rPr>
                                <w:t>2.1 ± 0.98</w:t>
                              </w:r>
                            </w:p>
                          </w:tc>
                          <w:tc>
                            <w:tcPr>
                              <w:tcW w:w="0" w:type="auto"/>
                              <w:shd w:val="clear" w:color="auto" w:fill="FFFFFF"/>
                              <w:hideMark/>
                            </w:tcPr>
                            <w:p w14:paraId="2728D0F1" w14:textId="77777777" w:rsidR="00563987" w:rsidRPr="00563987" w:rsidRDefault="00563987" w:rsidP="00563987">
                              <w:pPr>
                                <w:rPr>
                                  <w:rFonts w:eastAsiaTheme="minorHAnsi"/>
                                </w:rPr>
                              </w:pPr>
                              <w:r w:rsidRPr="00563987">
                                <w:rPr>
                                  <w:rFonts w:eastAsiaTheme="minorHAnsi"/>
                                </w:rPr>
                                <w:t>1707 ± 317</w:t>
                              </w:r>
                            </w:p>
                          </w:tc>
                          <w:tc>
                            <w:tcPr>
                              <w:tcW w:w="0" w:type="auto"/>
                              <w:shd w:val="clear" w:color="auto" w:fill="FFFFFF"/>
                              <w:hideMark/>
                            </w:tcPr>
                            <w:p w14:paraId="63E47388" w14:textId="77777777" w:rsidR="00563987" w:rsidRPr="00563987" w:rsidRDefault="00563987" w:rsidP="00563987">
                              <w:pPr>
                                <w:rPr>
                                  <w:rFonts w:eastAsiaTheme="minorHAnsi"/>
                                </w:rPr>
                              </w:pPr>
                              <w:r w:rsidRPr="00563987">
                                <w:rPr>
                                  <w:rFonts w:eastAsiaTheme="minorHAnsi"/>
                                </w:rPr>
                                <w:t>93</w:t>
                              </w:r>
                            </w:p>
                          </w:tc>
                          <w:tc>
                            <w:tcPr>
                              <w:tcW w:w="0" w:type="auto"/>
                              <w:shd w:val="clear" w:color="auto" w:fill="FFFFFF"/>
                              <w:hideMark/>
                            </w:tcPr>
                            <w:p w14:paraId="4E311B45" w14:textId="77777777" w:rsidR="00563987" w:rsidRPr="00563987" w:rsidRDefault="00563987" w:rsidP="00563987">
                              <w:pPr>
                                <w:rPr>
                                  <w:rFonts w:eastAsiaTheme="minorHAnsi"/>
                                </w:rPr>
                              </w:pPr>
                              <w:r w:rsidRPr="00563987">
                                <w:rPr>
                                  <w:rFonts w:eastAsiaTheme="minorHAnsi"/>
                                </w:rPr>
                                <w:t>88–98%</w:t>
                              </w:r>
                            </w:p>
                          </w:tc>
                        </w:tr>
                        <w:tr w:rsidR="00563987" w:rsidRPr="00563987" w14:paraId="26DD2686" w14:textId="77777777">
                          <w:trPr>
                            <w:tblCellSpacing w:w="7" w:type="dxa"/>
                          </w:trPr>
                          <w:tc>
                            <w:tcPr>
                              <w:tcW w:w="0" w:type="auto"/>
                              <w:shd w:val="clear" w:color="auto" w:fill="FFFFFF"/>
                              <w:hideMark/>
                            </w:tcPr>
                            <w:p w14:paraId="30D6FAD2" w14:textId="77777777" w:rsidR="00563987" w:rsidRPr="00563987" w:rsidRDefault="00563987" w:rsidP="00563987">
                              <w:pPr>
                                <w:rPr>
                                  <w:rFonts w:eastAsiaTheme="minorHAnsi"/>
                                </w:rPr>
                              </w:pPr>
                              <w:r w:rsidRPr="00563987">
                                <w:rPr>
                                  <w:rFonts w:eastAsiaTheme="minorHAnsi"/>
                                </w:rPr>
                                <w:t>Tablet C</w:t>
                              </w:r>
                            </w:p>
                          </w:tc>
                          <w:tc>
                            <w:tcPr>
                              <w:tcW w:w="0" w:type="auto"/>
                              <w:shd w:val="clear" w:color="auto" w:fill="FFFFFF"/>
                              <w:hideMark/>
                            </w:tcPr>
                            <w:p w14:paraId="4261228E" w14:textId="77777777" w:rsidR="00563987" w:rsidRPr="00563987" w:rsidRDefault="00563987" w:rsidP="00563987">
                              <w:pPr>
                                <w:rPr>
                                  <w:rFonts w:eastAsiaTheme="minorHAnsi"/>
                                </w:rPr>
                              </w:pPr>
                              <w:r w:rsidRPr="00563987">
                                <w:rPr>
                                  <w:rFonts w:eastAsiaTheme="minorHAnsi"/>
                                </w:rPr>
                                <w:t>14.8 ± 3.6</w:t>
                              </w:r>
                            </w:p>
                          </w:tc>
                          <w:tc>
                            <w:tcPr>
                              <w:tcW w:w="0" w:type="auto"/>
                              <w:shd w:val="clear" w:color="auto" w:fill="FFFFFF"/>
                              <w:hideMark/>
                            </w:tcPr>
                            <w:p w14:paraId="23777A61" w14:textId="77777777" w:rsidR="00563987" w:rsidRPr="00563987" w:rsidRDefault="00563987" w:rsidP="00563987">
                              <w:pPr>
                                <w:rPr>
                                  <w:rFonts w:eastAsiaTheme="minorHAnsi"/>
                                </w:rPr>
                              </w:pPr>
                              <w:r w:rsidRPr="00563987">
                                <w:rPr>
                                  <w:rFonts w:eastAsiaTheme="minorHAnsi"/>
                                </w:rPr>
                                <w:t>1.8 ± 0.95</w:t>
                              </w:r>
                            </w:p>
                          </w:tc>
                          <w:tc>
                            <w:tcPr>
                              <w:tcW w:w="0" w:type="auto"/>
                              <w:shd w:val="clear" w:color="auto" w:fill="FFFFFF"/>
                              <w:hideMark/>
                            </w:tcPr>
                            <w:p w14:paraId="399E9815" w14:textId="77777777" w:rsidR="00563987" w:rsidRPr="00563987" w:rsidRDefault="00563987" w:rsidP="00563987">
                              <w:pPr>
                                <w:rPr>
                                  <w:rFonts w:eastAsiaTheme="minorHAnsi"/>
                                </w:rPr>
                              </w:pPr>
                              <w:r w:rsidRPr="00563987">
                                <w:rPr>
                                  <w:rFonts w:eastAsiaTheme="minorHAnsi"/>
                                </w:rPr>
                                <w:t>1762 ± 295</w:t>
                              </w:r>
                            </w:p>
                          </w:tc>
                          <w:tc>
                            <w:tcPr>
                              <w:tcW w:w="0" w:type="auto"/>
                              <w:shd w:val="clear" w:color="auto" w:fill="FFFFFF"/>
                              <w:hideMark/>
                            </w:tcPr>
                            <w:p w14:paraId="143D23FD" w14:textId="77777777" w:rsidR="00563987" w:rsidRPr="00563987" w:rsidRDefault="00563987" w:rsidP="00563987">
                              <w:pPr>
                                <w:rPr>
                                  <w:rFonts w:eastAsiaTheme="minorHAnsi"/>
                                </w:rPr>
                              </w:pPr>
                              <w:r w:rsidRPr="00563987">
                                <w:rPr>
                                  <w:rFonts w:eastAsiaTheme="minorHAnsi"/>
                                </w:rPr>
                                <w:t>96</w:t>
                              </w:r>
                            </w:p>
                          </w:tc>
                          <w:tc>
                            <w:tcPr>
                              <w:tcW w:w="0" w:type="auto"/>
                              <w:shd w:val="clear" w:color="auto" w:fill="FFFFFF"/>
                              <w:hideMark/>
                            </w:tcPr>
                            <w:p w14:paraId="089A69E5" w14:textId="77777777" w:rsidR="00563987" w:rsidRPr="00563987" w:rsidRDefault="00563987" w:rsidP="00563987">
                              <w:pPr>
                                <w:rPr>
                                  <w:rFonts w:eastAsiaTheme="minorHAnsi"/>
                                </w:rPr>
                              </w:pPr>
                              <w:r w:rsidRPr="00563987">
                                <w:rPr>
                                  <w:rFonts w:eastAsiaTheme="minorHAnsi"/>
                                </w:rPr>
                                <w:t>91–103%</w:t>
                              </w:r>
                            </w:p>
                          </w:tc>
                        </w:tr>
                      </w:tbl>
                      <w:p w14:paraId="0D1B9C3A" w14:textId="77777777" w:rsidR="00563987" w:rsidRPr="00563987" w:rsidRDefault="00563987" w:rsidP="00563987">
                        <w:pPr>
                          <w:rPr>
                            <w:rFonts w:eastAsiaTheme="minorHAnsi"/>
                          </w:rPr>
                        </w:pPr>
                      </w:p>
                    </w:tc>
                  </w:tr>
                  <w:tr w:rsidR="00563987" w:rsidRPr="00563987" w14:paraId="38769F12" w14:textId="77777777">
                    <w:trPr>
                      <w:tblCellSpacing w:w="0" w:type="dxa"/>
                    </w:trPr>
                    <w:tc>
                      <w:tcPr>
                        <w:tcW w:w="0" w:type="auto"/>
                        <w:shd w:val="clear" w:color="auto" w:fill="FFFFFF"/>
                        <w:vAlign w:val="center"/>
                        <w:hideMark/>
                      </w:tcPr>
                      <w:p w14:paraId="32787B6D" w14:textId="77777777" w:rsidR="00563987" w:rsidRPr="00563987" w:rsidRDefault="00563987" w:rsidP="00563987">
                        <w:pPr>
                          <w:rPr>
                            <w:rFonts w:eastAsiaTheme="minorHAnsi"/>
                          </w:rPr>
                        </w:pPr>
                        <w:bookmarkStart w:id="143" w:name="2481833"/>
                        <w:bookmarkEnd w:id="143"/>
                      </w:p>
                      <w:p w14:paraId="5323CAF4" w14:textId="77777777" w:rsidR="00563987" w:rsidRPr="00563987" w:rsidRDefault="00563987" w:rsidP="00563987">
                        <w:pPr>
                          <w:rPr>
                            <w:rFonts w:eastAsiaTheme="minorHAnsi"/>
                          </w:rPr>
                        </w:pPr>
                        <w:proofErr w:type="spellStart"/>
                        <w:r w:rsidRPr="00563987">
                          <w:rPr>
                            <w:rFonts w:eastAsiaTheme="minorHAnsi"/>
                            <w:vertAlign w:val="superscript"/>
                          </w:rPr>
                          <w:t>a</w:t>
                        </w:r>
                        <w:proofErr w:type="spellEnd"/>
                        <w:r w:rsidRPr="00563987">
                          <w:rPr>
                            <w:rFonts w:eastAsiaTheme="minorHAnsi"/>
                            <w:vertAlign w:val="superscript"/>
                          </w:rPr>
                          <w:t xml:space="preserve"> </w:t>
                        </w:r>
                        <w:r w:rsidRPr="00563987">
                          <w:rPr>
                            <w:rFonts w:eastAsiaTheme="minorHAnsi"/>
                          </w:rPr>
                          <w:t>The bioavailability of a drug from four different formulations was studied in 24 healthy, adult male subjects using a four-way Latin-square crossover design. The results represent the mean ± standard deviation.</w:t>
                        </w:r>
                      </w:p>
                      <w:p w14:paraId="1F2DE1FD" w14:textId="77777777" w:rsidR="00563987" w:rsidRPr="00563987" w:rsidRDefault="00563987" w:rsidP="00563987">
                        <w:pPr>
                          <w:rPr>
                            <w:rFonts w:eastAsiaTheme="minorHAnsi"/>
                          </w:rPr>
                        </w:pPr>
                        <w:bookmarkStart w:id="144" w:name="2481834"/>
                        <w:bookmarkEnd w:id="144"/>
                        <w:r w:rsidRPr="00563987">
                          <w:rPr>
                            <w:rFonts w:eastAsiaTheme="minorHAnsi"/>
                            <w:vertAlign w:val="superscript"/>
                          </w:rPr>
                          <w:t xml:space="preserve">b </w:t>
                        </w:r>
                        <w:r w:rsidRPr="00563987">
                          <w:rPr>
                            <w:rFonts w:eastAsiaTheme="minorHAnsi"/>
                          </w:rPr>
                          <w:t>Oral bioavailability relative to the solution.</w:t>
                        </w:r>
                      </w:p>
                      <w:p w14:paraId="3E43573D" w14:textId="4ACF02AC" w:rsidR="00563987" w:rsidRPr="00563987" w:rsidRDefault="00563987" w:rsidP="00563987">
                        <w:pPr>
                          <w:rPr>
                            <w:rFonts w:eastAsiaTheme="minorHAnsi"/>
                          </w:rPr>
                        </w:pPr>
                        <w:bookmarkStart w:id="145" w:name="2481835"/>
                        <w:bookmarkEnd w:id="145"/>
                        <w:r w:rsidRPr="00563987">
                          <w:rPr>
                            <w:rFonts w:eastAsiaTheme="minorHAnsi"/>
                            <w:vertAlign w:val="superscript"/>
                          </w:rPr>
                          <w:t xml:space="preserve">c </w:t>
                        </w:r>
                        <w:r w:rsidRPr="00563987">
                          <w:rPr>
                            <w:rFonts w:eastAsiaTheme="minorHAnsi"/>
                            <w:i/>
                            <w:iCs/>
                          </w:rPr>
                          <w:t>p</w:t>
                        </w:r>
                        <w:r w:rsidRPr="00563987">
                          <w:rPr>
                            <w:rFonts w:eastAsiaTheme="minorHAnsi"/>
                          </w:rPr>
                          <w:t xml:space="preserve"> </w:t>
                        </w:r>
                        <w:r w:rsidRPr="00563987">
                          <w:rPr>
                            <w:rFonts w:eastAsiaTheme="minorHAnsi"/>
                            <w:noProof/>
                          </w:rPr>
                          <mc:AlternateContent>
                            <mc:Choice Requires="wps">
                              <w:drawing>
                                <wp:inline distT="0" distB="0" distL="0" distR="0" wp14:anchorId="7A26AB61" wp14:editId="678740D4">
                                  <wp:extent cx="304800" cy="304800"/>
                                  <wp:effectExtent l="0" t="0" r="0" b="0"/>
                                  <wp:docPr id="720543414"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72A22" id="Rectangle 1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63987">
                          <w:rPr>
                            <w:rFonts w:eastAsiaTheme="minorHAnsi"/>
                          </w:rPr>
                          <w:t>0.05.</w:t>
                        </w:r>
                      </w:p>
                    </w:tc>
                  </w:tr>
                </w:tbl>
                <w:p w14:paraId="39C13C32" w14:textId="77777777" w:rsidR="00563987" w:rsidRPr="00563987" w:rsidRDefault="00563987" w:rsidP="00563987">
                  <w:pPr>
                    <w:rPr>
                      <w:rFonts w:eastAsiaTheme="minorHAnsi"/>
                    </w:rPr>
                  </w:pPr>
                  <w:bookmarkStart w:id="146" w:name="2481745"/>
                  <w:bookmarkEnd w:id="146"/>
                  <w:r w:rsidRPr="00563987">
                    <w:rPr>
                      <w:rFonts w:eastAsiaTheme="minorHAnsi"/>
                    </w:rPr>
                    <w:t xml:space="preserve">For illustrative purposes, consider a drug that has been prepared at the same dosage level in three formulations, A, B, and C. These formulations are given to a group of volunteers using a three-way, randomized crossover design. In this experimental design, all subjects receive each formulation once. From each subject, plasma drug level and urinary drug excretion data are obtained. With these data we can observe the relationship between plasma and urinary excretion parameters and drug bioavailability (). The rate of drug absorption from formulation A is more rapid than that from formulation B, because the </w:t>
                  </w: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for formulation A is shorter. Because the AUC for formulation A is identical to the AUC for formulation B, the extent of bioavailability from both of these formulations is the same. Note, however, the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for A is higher than that for B, because the rate of drug absorption is more rapid.</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007"/>
                  </w:tblGrid>
                  <w:tr w:rsidR="00563987" w:rsidRPr="00563987" w14:paraId="7A48C5C1"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6979"/>
                        </w:tblGrid>
                        <w:tr w:rsidR="00563987" w:rsidRPr="00563987" w14:paraId="299A5C97" w14:textId="77777777">
                          <w:trPr>
                            <w:tblCellSpacing w:w="7" w:type="dxa"/>
                          </w:trPr>
                          <w:tc>
                            <w:tcPr>
                              <w:tcW w:w="0" w:type="auto"/>
                              <w:shd w:val="clear" w:color="auto" w:fill="CCCCCC"/>
                              <w:vAlign w:val="center"/>
                              <w:hideMark/>
                            </w:tcPr>
                            <w:p w14:paraId="452F2F04" w14:textId="77777777" w:rsidR="00563987" w:rsidRPr="00563987" w:rsidRDefault="00563987" w:rsidP="00563987">
                              <w:pPr>
                                <w:rPr>
                                  <w:rFonts w:eastAsiaTheme="minorHAnsi"/>
                                </w:rPr>
                              </w:pPr>
                              <w:bookmarkStart w:id="147" w:name="2481881"/>
                              <w:bookmarkEnd w:id="147"/>
                              <w:r w:rsidRPr="00563987">
                                <w:rPr>
                                  <w:rFonts w:eastAsiaTheme="minorHAnsi"/>
                                </w:rPr>
                                <w:t>Figure 15-9.</w:t>
                              </w:r>
                            </w:p>
                            <w:p w14:paraId="3E2B9906" w14:textId="77777777" w:rsidR="00563987" w:rsidRPr="00563987" w:rsidRDefault="00563987" w:rsidP="00563987">
                              <w:pPr>
                                <w:rPr>
                                  <w:rFonts w:eastAsiaTheme="minorHAnsi"/>
                                </w:rPr>
                              </w:pPr>
                            </w:p>
                          </w:tc>
                        </w:tr>
                      </w:tbl>
                      <w:p w14:paraId="21DEC56E" w14:textId="77777777" w:rsidR="00563987" w:rsidRPr="00563987" w:rsidRDefault="00563987" w:rsidP="00563987">
                        <w:pPr>
                          <w:rPr>
                            <w:rFonts w:eastAsiaTheme="minorHAnsi"/>
                          </w:rPr>
                        </w:pPr>
                      </w:p>
                    </w:tc>
                  </w:tr>
                  <w:tr w:rsidR="00563987" w:rsidRPr="00563987" w14:paraId="1CDAF585"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6979"/>
                        </w:tblGrid>
                        <w:tr w:rsidR="00563987" w:rsidRPr="00563987" w14:paraId="681DB31F" w14:textId="77777777">
                          <w:trPr>
                            <w:tblCellSpacing w:w="7" w:type="dxa"/>
                          </w:trPr>
                          <w:tc>
                            <w:tcPr>
                              <w:tcW w:w="0" w:type="auto"/>
                              <w:shd w:val="clear" w:color="auto" w:fill="FFFFFF"/>
                              <w:vAlign w:val="center"/>
                              <w:hideMark/>
                            </w:tcPr>
                            <w:p w14:paraId="54D7712D" w14:textId="7C02168E" w:rsidR="00563987" w:rsidRPr="00563987" w:rsidRDefault="00563987" w:rsidP="00563987">
                              <w:pPr>
                                <w:rPr>
                                  <w:rFonts w:eastAsiaTheme="minorHAnsi"/>
                                </w:rPr>
                              </w:pPr>
                              <w:r w:rsidRPr="00563987">
                                <w:rPr>
                                  <w:rFonts w:eastAsiaTheme="minorHAnsi"/>
                                  <w:noProof/>
                                </w:rPr>
                                <mc:AlternateContent>
                                  <mc:Choice Requires="wps">
                                    <w:drawing>
                                      <wp:inline distT="0" distB="0" distL="0" distR="0" wp14:anchorId="3889A585" wp14:editId="7AB7E611">
                                        <wp:extent cx="304800" cy="304800"/>
                                        <wp:effectExtent l="0" t="0" r="0" b="0"/>
                                        <wp:docPr id="493707416"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DF9C0" id="Rectangle 1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63987" w:rsidRPr="00563987" w14:paraId="46089F3A" w14:textId="77777777">
                          <w:trPr>
                            <w:tblCellSpacing w:w="7" w:type="dxa"/>
                          </w:trPr>
                          <w:tc>
                            <w:tcPr>
                              <w:tcW w:w="0" w:type="auto"/>
                              <w:shd w:val="clear" w:color="auto" w:fill="FFFFFF"/>
                              <w:vAlign w:val="center"/>
                              <w:hideMark/>
                            </w:tcPr>
                            <w:p w14:paraId="566D9C0E" w14:textId="77777777" w:rsidR="00563987" w:rsidRPr="00563987" w:rsidRDefault="00563987" w:rsidP="00563987">
                              <w:pPr>
                                <w:rPr>
                                  <w:rFonts w:eastAsiaTheme="minorHAnsi"/>
                                </w:rPr>
                              </w:pPr>
                              <w:bookmarkStart w:id="148" w:name="2481882"/>
                              <w:bookmarkEnd w:id="148"/>
                              <w:r w:rsidRPr="00563987">
                                <w:rPr>
                                  <w:rFonts w:eastAsiaTheme="minorHAnsi"/>
                                </w:rPr>
                                <w:t>Corresponding plots relating plasma concentration and urinary excretion data.</w:t>
                              </w:r>
                            </w:p>
                          </w:tc>
                        </w:tr>
                      </w:tbl>
                      <w:p w14:paraId="53D13B40" w14:textId="77777777" w:rsidR="00563987" w:rsidRPr="00563987" w:rsidRDefault="00563987" w:rsidP="00563987">
                        <w:pPr>
                          <w:rPr>
                            <w:rFonts w:eastAsiaTheme="minorHAnsi"/>
                          </w:rPr>
                        </w:pPr>
                      </w:p>
                    </w:tc>
                  </w:tr>
                </w:tbl>
                <w:p w14:paraId="1709BF0B" w14:textId="77777777" w:rsidR="00563987" w:rsidRPr="00563987" w:rsidRDefault="00563987" w:rsidP="00563987">
                  <w:pPr>
                    <w:rPr>
                      <w:rFonts w:eastAsiaTheme="minorHAnsi"/>
                    </w:rPr>
                  </w:pPr>
                  <w:bookmarkStart w:id="149" w:name="2481746"/>
                  <w:bookmarkEnd w:id="149"/>
                  <w:r w:rsidRPr="00563987">
                    <w:rPr>
                      <w:rFonts w:eastAsiaTheme="minorHAnsi"/>
                    </w:rPr>
                    <w:t xml:space="preserve">The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is generally higher when the extent of drug bioavailability is greater. The rate of drug absorption from formulation C is the same as that from formulation A, but the extent of drug available is less. The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for formulation C is less than that for formulation A. The decrease in </w:t>
                  </w: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for formulation C is proportional to the decrease in AUC in comparison to the drug plasma level data for formulation A. The corresponding urinary excretion data confirm these observations. These relationships are summarized in . The table illustrates how bioavailability parameters for plasma and urine change when only the extent and rate of bioavailability are changed, respectively. Formulation changes in a drug product may affect both the rate and extent of drug bioavailability.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63"/>
                  </w:tblGrid>
                  <w:tr w:rsidR="00563987" w:rsidRPr="00563987" w14:paraId="70F41A72"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833"/>
                        </w:tblGrid>
                        <w:tr w:rsidR="00563987" w:rsidRPr="00563987" w14:paraId="5D3F1E28" w14:textId="77777777">
                          <w:trPr>
                            <w:tblCellSpacing w:w="0" w:type="dxa"/>
                          </w:trPr>
                          <w:tc>
                            <w:tcPr>
                              <w:tcW w:w="0" w:type="auto"/>
                              <w:vAlign w:val="center"/>
                              <w:hideMark/>
                            </w:tcPr>
                            <w:p w14:paraId="6BF2C6A9" w14:textId="77777777" w:rsidR="00563987" w:rsidRPr="00563987" w:rsidRDefault="00563987" w:rsidP="00563987">
                              <w:pPr>
                                <w:rPr>
                                  <w:rFonts w:eastAsiaTheme="minorHAnsi"/>
                                </w:rPr>
                              </w:pPr>
                              <w:bookmarkStart w:id="150" w:name="2481836"/>
                              <w:bookmarkEnd w:id="150"/>
                              <w:r w:rsidRPr="00563987">
                                <w:rPr>
                                  <w:rFonts w:eastAsiaTheme="minorHAnsi"/>
                                </w:rPr>
                                <w:t>Table 15.7 Relationship of Plasma Level and Urinary Excretion Parameters to Drug Bioavailability</w:t>
                              </w:r>
                            </w:p>
                            <w:p w14:paraId="5BBC2E0A" w14:textId="77777777" w:rsidR="00563987" w:rsidRPr="00563987" w:rsidRDefault="00563987" w:rsidP="00563987">
                              <w:pPr>
                                <w:rPr>
                                  <w:rFonts w:eastAsiaTheme="minorHAnsi"/>
                                </w:rPr>
                              </w:pPr>
                            </w:p>
                          </w:tc>
                        </w:tr>
                      </w:tbl>
                      <w:p w14:paraId="5974CD48" w14:textId="77777777" w:rsidR="00563987" w:rsidRPr="00563987" w:rsidRDefault="00563987" w:rsidP="00563987">
                        <w:pPr>
                          <w:rPr>
                            <w:rFonts w:eastAsiaTheme="minorHAnsi"/>
                          </w:rPr>
                        </w:pPr>
                      </w:p>
                    </w:tc>
                  </w:tr>
                  <w:tr w:rsidR="00563987" w:rsidRPr="00563987" w14:paraId="28F523CE"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732"/>
                          <w:gridCol w:w="1806"/>
                          <w:gridCol w:w="2488"/>
                          <w:gridCol w:w="1837"/>
                        </w:tblGrid>
                        <w:tr w:rsidR="00563987" w:rsidRPr="00563987" w14:paraId="2BA35DB0" w14:textId="77777777">
                          <w:trPr>
                            <w:tblHeader/>
                            <w:tblCellSpacing w:w="7" w:type="dxa"/>
                          </w:trPr>
                          <w:tc>
                            <w:tcPr>
                              <w:tcW w:w="0" w:type="auto"/>
                              <w:gridSpan w:val="2"/>
                              <w:shd w:val="clear" w:color="auto" w:fill="FFFFFF"/>
                              <w:hideMark/>
                            </w:tcPr>
                            <w:p w14:paraId="5FA778B4" w14:textId="77777777" w:rsidR="00563987" w:rsidRPr="00563987" w:rsidRDefault="00563987" w:rsidP="00563987">
                              <w:pPr>
                                <w:rPr>
                                  <w:rFonts w:eastAsiaTheme="minorHAnsi"/>
                                  <w:b/>
                                  <w:bCs/>
                                </w:rPr>
                              </w:pPr>
                              <w:r w:rsidRPr="00563987">
                                <w:rPr>
                                  <w:rFonts w:eastAsiaTheme="minorHAnsi"/>
                                  <w:b/>
                                  <w:bCs/>
                                </w:rPr>
                                <w:t>Extent of Drug Bioavailability Decreases</w:t>
                              </w:r>
                            </w:p>
                          </w:tc>
                          <w:tc>
                            <w:tcPr>
                              <w:tcW w:w="0" w:type="auto"/>
                              <w:gridSpan w:val="2"/>
                              <w:shd w:val="clear" w:color="auto" w:fill="FFFFFF"/>
                              <w:hideMark/>
                            </w:tcPr>
                            <w:p w14:paraId="36CE83CF" w14:textId="77777777" w:rsidR="00563987" w:rsidRPr="00563987" w:rsidRDefault="00563987" w:rsidP="00563987">
                              <w:pPr>
                                <w:rPr>
                                  <w:rFonts w:eastAsiaTheme="minorHAnsi"/>
                                  <w:b/>
                                  <w:bCs/>
                                </w:rPr>
                              </w:pPr>
                              <w:r w:rsidRPr="00563987">
                                <w:rPr>
                                  <w:rFonts w:eastAsiaTheme="minorHAnsi"/>
                                  <w:b/>
                                  <w:bCs/>
                                </w:rPr>
                                <w:t>Rate of Drug Bioavailability Decreases</w:t>
                              </w:r>
                            </w:p>
                          </w:tc>
                        </w:tr>
                        <w:tr w:rsidR="00563987" w:rsidRPr="00563987" w14:paraId="2958A3D2" w14:textId="77777777">
                          <w:trPr>
                            <w:tblHeader/>
                            <w:tblCellSpacing w:w="7" w:type="dxa"/>
                          </w:trPr>
                          <w:tc>
                            <w:tcPr>
                              <w:tcW w:w="0" w:type="auto"/>
                              <w:shd w:val="clear" w:color="auto" w:fill="FFFFFF"/>
                              <w:hideMark/>
                            </w:tcPr>
                            <w:p w14:paraId="354DF956" w14:textId="77777777" w:rsidR="00563987" w:rsidRPr="00563987" w:rsidRDefault="00563987" w:rsidP="00563987">
                              <w:pPr>
                                <w:rPr>
                                  <w:rFonts w:eastAsiaTheme="minorHAnsi"/>
                                  <w:b/>
                                  <w:bCs/>
                                </w:rPr>
                              </w:pPr>
                              <w:r w:rsidRPr="00563987">
                                <w:rPr>
                                  <w:rFonts w:eastAsiaTheme="minorHAnsi"/>
                                  <w:b/>
                                  <w:bCs/>
                                </w:rPr>
                                <w:t>Parameter</w:t>
                              </w:r>
                            </w:p>
                          </w:tc>
                          <w:tc>
                            <w:tcPr>
                              <w:tcW w:w="0" w:type="auto"/>
                              <w:shd w:val="clear" w:color="auto" w:fill="FFFFFF"/>
                              <w:hideMark/>
                            </w:tcPr>
                            <w:p w14:paraId="0B632E43" w14:textId="77777777" w:rsidR="00563987" w:rsidRPr="00563987" w:rsidRDefault="00563987" w:rsidP="00563987">
                              <w:pPr>
                                <w:rPr>
                                  <w:rFonts w:eastAsiaTheme="minorHAnsi"/>
                                  <w:b/>
                                  <w:bCs/>
                                </w:rPr>
                              </w:pPr>
                              <w:r w:rsidRPr="00563987">
                                <w:rPr>
                                  <w:rFonts w:eastAsiaTheme="minorHAnsi"/>
                                  <w:b/>
                                  <w:bCs/>
                                </w:rPr>
                                <w:t>Change</w:t>
                              </w:r>
                            </w:p>
                          </w:tc>
                          <w:tc>
                            <w:tcPr>
                              <w:tcW w:w="0" w:type="auto"/>
                              <w:shd w:val="clear" w:color="auto" w:fill="FFFFFF"/>
                              <w:hideMark/>
                            </w:tcPr>
                            <w:p w14:paraId="76F287E5" w14:textId="77777777" w:rsidR="00563987" w:rsidRPr="00563987" w:rsidRDefault="00563987" w:rsidP="00563987">
                              <w:pPr>
                                <w:rPr>
                                  <w:rFonts w:eastAsiaTheme="minorHAnsi"/>
                                  <w:b/>
                                  <w:bCs/>
                                </w:rPr>
                              </w:pPr>
                              <w:r w:rsidRPr="00563987">
                                <w:rPr>
                                  <w:rFonts w:eastAsiaTheme="minorHAnsi"/>
                                  <w:b/>
                                  <w:bCs/>
                                </w:rPr>
                                <w:t>Parameter</w:t>
                              </w:r>
                            </w:p>
                          </w:tc>
                          <w:tc>
                            <w:tcPr>
                              <w:tcW w:w="0" w:type="auto"/>
                              <w:shd w:val="clear" w:color="auto" w:fill="FFFFFF"/>
                              <w:hideMark/>
                            </w:tcPr>
                            <w:p w14:paraId="515447F0" w14:textId="77777777" w:rsidR="00563987" w:rsidRPr="00563987" w:rsidRDefault="00563987" w:rsidP="00563987">
                              <w:pPr>
                                <w:rPr>
                                  <w:rFonts w:eastAsiaTheme="minorHAnsi"/>
                                  <w:b/>
                                  <w:bCs/>
                                </w:rPr>
                              </w:pPr>
                              <w:r w:rsidRPr="00563987">
                                <w:rPr>
                                  <w:rFonts w:eastAsiaTheme="minorHAnsi"/>
                                  <w:b/>
                                  <w:bCs/>
                                </w:rPr>
                                <w:t>Change</w:t>
                              </w:r>
                            </w:p>
                          </w:tc>
                        </w:tr>
                        <w:tr w:rsidR="00563987" w:rsidRPr="00563987" w14:paraId="7446B9C1" w14:textId="77777777">
                          <w:trPr>
                            <w:tblCellSpacing w:w="7" w:type="dxa"/>
                          </w:trPr>
                          <w:tc>
                            <w:tcPr>
                              <w:tcW w:w="0" w:type="auto"/>
                              <w:shd w:val="clear" w:color="auto" w:fill="FFFFFF"/>
                              <w:hideMark/>
                            </w:tcPr>
                            <w:p w14:paraId="48917CC4" w14:textId="77777777" w:rsidR="00563987" w:rsidRPr="00563987" w:rsidRDefault="00563987" w:rsidP="00563987">
                              <w:pPr>
                                <w:rPr>
                                  <w:rFonts w:eastAsiaTheme="minorHAnsi"/>
                                </w:rPr>
                              </w:pPr>
                              <w:r w:rsidRPr="00563987">
                                <w:rPr>
                                  <w:rFonts w:eastAsiaTheme="minorHAnsi"/>
                                  <w:b/>
                                  <w:bCs/>
                                </w:rPr>
                                <w:t>Plasma data</w:t>
                              </w:r>
                              <w:r w:rsidRPr="00563987">
                                <w:rPr>
                                  <w:rFonts w:eastAsiaTheme="minorHAnsi"/>
                                </w:rPr>
                                <w:t xml:space="preserve">  </w:t>
                              </w:r>
                            </w:p>
                          </w:tc>
                          <w:tc>
                            <w:tcPr>
                              <w:tcW w:w="0" w:type="auto"/>
                              <w:shd w:val="clear" w:color="auto" w:fill="FFFFFF"/>
                              <w:hideMark/>
                            </w:tcPr>
                            <w:p w14:paraId="106C3E01"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239354D4"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6629FFC9" w14:textId="77777777" w:rsidR="00563987" w:rsidRPr="00563987" w:rsidRDefault="00563987" w:rsidP="00563987">
                              <w:pPr>
                                <w:rPr>
                                  <w:rFonts w:eastAsiaTheme="minorHAnsi"/>
                                </w:rPr>
                              </w:pPr>
                              <w:r w:rsidRPr="00563987">
                                <w:rPr>
                                  <w:rFonts w:eastAsiaTheme="minorHAnsi"/>
                                </w:rPr>
                                <w:t> </w:t>
                              </w:r>
                            </w:p>
                          </w:tc>
                        </w:tr>
                        <w:tr w:rsidR="00563987" w:rsidRPr="00563987" w14:paraId="0366678E" w14:textId="77777777">
                          <w:trPr>
                            <w:tblCellSpacing w:w="7" w:type="dxa"/>
                          </w:trPr>
                          <w:tc>
                            <w:tcPr>
                              <w:tcW w:w="0" w:type="auto"/>
                              <w:shd w:val="clear" w:color="auto" w:fill="FFFFFF"/>
                              <w:hideMark/>
                            </w:tcPr>
                            <w:p w14:paraId="585104FE"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3739630F" w14:textId="77777777" w:rsidR="00563987" w:rsidRPr="00563987" w:rsidRDefault="00563987" w:rsidP="00563987">
                              <w:pPr>
                                <w:rPr>
                                  <w:rFonts w:eastAsiaTheme="minorHAnsi"/>
                                </w:rPr>
                              </w:pPr>
                              <w:r w:rsidRPr="00563987">
                                <w:rPr>
                                  <w:rFonts w:eastAsiaTheme="minorHAnsi"/>
                                </w:rPr>
                                <w:t>Same</w:t>
                              </w:r>
                            </w:p>
                          </w:tc>
                          <w:tc>
                            <w:tcPr>
                              <w:tcW w:w="0" w:type="auto"/>
                              <w:shd w:val="clear" w:color="auto" w:fill="FFFFFF"/>
                              <w:hideMark/>
                            </w:tcPr>
                            <w:p w14:paraId="2F9A07AC"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4325276D" w14:textId="77777777" w:rsidR="00563987" w:rsidRPr="00563987" w:rsidRDefault="00563987" w:rsidP="00563987">
                              <w:pPr>
                                <w:rPr>
                                  <w:rFonts w:eastAsiaTheme="minorHAnsi"/>
                                </w:rPr>
                              </w:pPr>
                              <w:r w:rsidRPr="00563987">
                                <w:rPr>
                                  <w:rFonts w:eastAsiaTheme="minorHAnsi"/>
                                </w:rPr>
                                <w:t>Increase</w:t>
                              </w:r>
                            </w:p>
                          </w:tc>
                        </w:tr>
                        <w:tr w:rsidR="00563987" w:rsidRPr="00563987" w14:paraId="138FAB53" w14:textId="77777777">
                          <w:trPr>
                            <w:tblCellSpacing w:w="7" w:type="dxa"/>
                          </w:trPr>
                          <w:tc>
                            <w:tcPr>
                              <w:tcW w:w="0" w:type="auto"/>
                              <w:shd w:val="clear" w:color="auto" w:fill="FFFFFF"/>
                              <w:hideMark/>
                            </w:tcPr>
                            <w:p w14:paraId="0A9F55BB" w14:textId="77777777" w:rsidR="00563987" w:rsidRPr="00563987" w:rsidRDefault="00563987" w:rsidP="00563987">
                              <w:pPr>
                                <w:rPr>
                                  <w:rFonts w:eastAsiaTheme="minorHAnsi"/>
                                </w:rPr>
                              </w:pP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1DA8A1AE" w14:textId="77777777" w:rsidR="00563987" w:rsidRPr="00563987" w:rsidRDefault="00563987" w:rsidP="00563987">
                              <w:pPr>
                                <w:rPr>
                                  <w:rFonts w:eastAsiaTheme="minorHAnsi"/>
                                </w:rPr>
                              </w:pPr>
                              <w:r w:rsidRPr="00563987">
                                <w:rPr>
                                  <w:rFonts w:eastAsiaTheme="minorHAnsi"/>
                                </w:rPr>
                                <w:t>Decrease</w:t>
                              </w:r>
                            </w:p>
                          </w:tc>
                          <w:tc>
                            <w:tcPr>
                              <w:tcW w:w="0" w:type="auto"/>
                              <w:shd w:val="clear" w:color="auto" w:fill="FFFFFF"/>
                              <w:hideMark/>
                            </w:tcPr>
                            <w:p w14:paraId="694F5345" w14:textId="77777777" w:rsidR="00563987" w:rsidRPr="00563987" w:rsidRDefault="00563987" w:rsidP="00563987">
                              <w:pPr>
                                <w:rPr>
                                  <w:rFonts w:eastAsiaTheme="minorHAnsi"/>
                                </w:rPr>
                              </w:pPr>
                              <w:r w:rsidRPr="00563987">
                                <w:rPr>
                                  <w:rFonts w:eastAsiaTheme="minorHAnsi"/>
                                  <w:i/>
                                  <w:iCs/>
                                </w:rPr>
                                <w:t>C</w:t>
                              </w:r>
                              <w:r w:rsidRPr="00563987">
                                <w:rPr>
                                  <w:rFonts w:eastAsiaTheme="minorHAnsi"/>
                                </w:rPr>
                                <w:t xml:space="preserve"> </w:t>
                              </w:r>
                              <w:r w:rsidRPr="00563987">
                                <w:rPr>
                                  <w:rFonts w:eastAsiaTheme="minorHAnsi"/>
                                  <w:vertAlign w:val="subscript"/>
                                </w:rPr>
                                <w:t>max</w:t>
                              </w:r>
                              <w:r w:rsidRPr="00563987">
                                <w:rPr>
                                  <w:rFonts w:eastAsiaTheme="minorHAnsi"/>
                                </w:rPr>
                                <w:t xml:space="preserve"> </w:t>
                              </w:r>
                              <w:r w:rsidRPr="00563987">
                                <w:rPr>
                                  <w:rFonts w:eastAsiaTheme="minorHAnsi"/>
                                </w:rPr>
                                <w:br/>
                                <w:t> </w:t>
                              </w:r>
                            </w:p>
                          </w:tc>
                          <w:tc>
                            <w:tcPr>
                              <w:tcW w:w="0" w:type="auto"/>
                              <w:shd w:val="clear" w:color="auto" w:fill="FFFFFF"/>
                              <w:hideMark/>
                            </w:tcPr>
                            <w:p w14:paraId="233A6DB6" w14:textId="77777777" w:rsidR="00563987" w:rsidRPr="00563987" w:rsidRDefault="00563987" w:rsidP="00563987">
                              <w:pPr>
                                <w:rPr>
                                  <w:rFonts w:eastAsiaTheme="minorHAnsi"/>
                                </w:rPr>
                              </w:pPr>
                              <w:r w:rsidRPr="00563987">
                                <w:rPr>
                                  <w:rFonts w:eastAsiaTheme="minorHAnsi"/>
                                </w:rPr>
                                <w:t>Decrease</w:t>
                              </w:r>
                            </w:p>
                          </w:tc>
                        </w:tr>
                        <w:tr w:rsidR="00563987" w:rsidRPr="00563987" w14:paraId="78108AD9" w14:textId="77777777">
                          <w:trPr>
                            <w:tblCellSpacing w:w="7" w:type="dxa"/>
                          </w:trPr>
                          <w:tc>
                            <w:tcPr>
                              <w:tcW w:w="0" w:type="auto"/>
                              <w:shd w:val="clear" w:color="auto" w:fill="FFFFFF"/>
                              <w:hideMark/>
                            </w:tcPr>
                            <w:p w14:paraId="09AC3837" w14:textId="77777777" w:rsidR="00563987" w:rsidRPr="00563987" w:rsidRDefault="00563987" w:rsidP="00563987">
                              <w:pPr>
                                <w:rPr>
                                  <w:rFonts w:eastAsiaTheme="minorHAnsi"/>
                                </w:rPr>
                              </w:pPr>
                              <w:r w:rsidRPr="00563987">
                                <w:rPr>
                                  <w:rFonts w:eastAsiaTheme="minorHAnsi"/>
                                </w:rPr>
                                <w:t>AUC</w:t>
                              </w:r>
                            </w:p>
                          </w:tc>
                          <w:tc>
                            <w:tcPr>
                              <w:tcW w:w="0" w:type="auto"/>
                              <w:shd w:val="clear" w:color="auto" w:fill="FFFFFF"/>
                              <w:hideMark/>
                            </w:tcPr>
                            <w:p w14:paraId="2EF55E23" w14:textId="77777777" w:rsidR="00563987" w:rsidRPr="00563987" w:rsidRDefault="00563987" w:rsidP="00563987">
                              <w:pPr>
                                <w:rPr>
                                  <w:rFonts w:eastAsiaTheme="minorHAnsi"/>
                                </w:rPr>
                              </w:pPr>
                              <w:r w:rsidRPr="00563987">
                                <w:rPr>
                                  <w:rFonts w:eastAsiaTheme="minorHAnsi"/>
                                </w:rPr>
                                <w:t>Decrease</w:t>
                              </w:r>
                            </w:p>
                          </w:tc>
                          <w:tc>
                            <w:tcPr>
                              <w:tcW w:w="0" w:type="auto"/>
                              <w:shd w:val="clear" w:color="auto" w:fill="FFFFFF"/>
                              <w:hideMark/>
                            </w:tcPr>
                            <w:p w14:paraId="16293B7C" w14:textId="77777777" w:rsidR="00563987" w:rsidRPr="00563987" w:rsidRDefault="00563987" w:rsidP="00563987">
                              <w:pPr>
                                <w:rPr>
                                  <w:rFonts w:eastAsiaTheme="minorHAnsi"/>
                                </w:rPr>
                              </w:pPr>
                              <w:r w:rsidRPr="00563987">
                                <w:rPr>
                                  <w:rFonts w:eastAsiaTheme="minorHAnsi"/>
                                </w:rPr>
                                <w:t>AUC</w:t>
                              </w:r>
                            </w:p>
                          </w:tc>
                          <w:tc>
                            <w:tcPr>
                              <w:tcW w:w="0" w:type="auto"/>
                              <w:shd w:val="clear" w:color="auto" w:fill="FFFFFF"/>
                              <w:hideMark/>
                            </w:tcPr>
                            <w:p w14:paraId="46DBC48F" w14:textId="77777777" w:rsidR="00563987" w:rsidRPr="00563987" w:rsidRDefault="00563987" w:rsidP="00563987">
                              <w:pPr>
                                <w:rPr>
                                  <w:rFonts w:eastAsiaTheme="minorHAnsi"/>
                                </w:rPr>
                              </w:pPr>
                              <w:r w:rsidRPr="00563987">
                                <w:rPr>
                                  <w:rFonts w:eastAsiaTheme="minorHAnsi"/>
                                </w:rPr>
                                <w:t>Same</w:t>
                              </w:r>
                            </w:p>
                          </w:tc>
                        </w:tr>
                        <w:tr w:rsidR="00563987" w:rsidRPr="00563987" w14:paraId="6869BF68" w14:textId="77777777">
                          <w:trPr>
                            <w:tblCellSpacing w:w="7" w:type="dxa"/>
                          </w:trPr>
                          <w:tc>
                            <w:tcPr>
                              <w:tcW w:w="0" w:type="auto"/>
                              <w:shd w:val="clear" w:color="auto" w:fill="FFFFFF"/>
                              <w:hideMark/>
                            </w:tcPr>
                            <w:p w14:paraId="2DAB8C10" w14:textId="77777777" w:rsidR="00563987" w:rsidRPr="00563987" w:rsidRDefault="00563987" w:rsidP="00563987">
                              <w:pPr>
                                <w:rPr>
                                  <w:rFonts w:eastAsiaTheme="minorHAnsi"/>
                                </w:rPr>
                              </w:pPr>
                              <w:r w:rsidRPr="00563987">
                                <w:rPr>
                                  <w:rFonts w:eastAsiaTheme="minorHAnsi"/>
                                  <w:b/>
                                  <w:bCs/>
                                </w:rPr>
                                <w:t>Urine data</w:t>
                              </w:r>
                              <w:r w:rsidRPr="00563987">
                                <w:rPr>
                                  <w:rFonts w:eastAsiaTheme="minorHAnsi"/>
                                </w:rPr>
                                <w:t xml:space="preserve">  </w:t>
                              </w:r>
                            </w:p>
                          </w:tc>
                          <w:tc>
                            <w:tcPr>
                              <w:tcW w:w="0" w:type="auto"/>
                              <w:shd w:val="clear" w:color="auto" w:fill="FFFFFF"/>
                              <w:hideMark/>
                            </w:tcPr>
                            <w:p w14:paraId="29290493"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25A14F2D" w14:textId="77777777" w:rsidR="00563987" w:rsidRPr="00563987" w:rsidRDefault="00563987" w:rsidP="00563987">
                              <w:pPr>
                                <w:rPr>
                                  <w:rFonts w:eastAsiaTheme="minorHAnsi"/>
                                </w:rPr>
                              </w:pPr>
                              <w:r w:rsidRPr="00563987">
                                <w:rPr>
                                  <w:rFonts w:eastAsiaTheme="minorHAnsi"/>
                                </w:rPr>
                                <w:t> </w:t>
                              </w:r>
                            </w:p>
                          </w:tc>
                          <w:tc>
                            <w:tcPr>
                              <w:tcW w:w="0" w:type="auto"/>
                              <w:shd w:val="clear" w:color="auto" w:fill="FFFFFF"/>
                              <w:hideMark/>
                            </w:tcPr>
                            <w:p w14:paraId="386727AC" w14:textId="77777777" w:rsidR="00563987" w:rsidRPr="00563987" w:rsidRDefault="00563987" w:rsidP="00563987">
                              <w:pPr>
                                <w:rPr>
                                  <w:rFonts w:eastAsiaTheme="minorHAnsi"/>
                                </w:rPr>
                              </w:pPr>
                              <w:r w:rsidRPr="00563987">
                                <w:rPr>
                                  <w:rFonts w:eastAsiaTheme="minorHAnsi"/>
                                </w:rPr>
                                <w:t> </w:t>
                              </w:r>
                            </w:p>
                          </w:tc>
                        </w:tr>
                        <w:tr w:rsidR="00563987" w:rsidRPr="00563987" w14:paraId="068496B9" w14:textId="77777777">
                          <w:trPr>
                            <w:tblCellSpacing w:w="7" w:type="dxa"/>
                          </w:trPr>
                          <w:tc>
                            <w:tcPr>
                              <w:tcW w:w="0" w:type="auto"/>
                              <w:shd w:val="clear" w:color="auto" w:fill="FFFFFF"/>
                              <w:hideMark/>
                            </w:tcPr>
                            <w:p w14:paraId="3BE0F563"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rPr>
                                <w:br/>
                                <w:t> </w:t>
                              </w:r>
                            </w:p>
                          </w:tc>
                          <w:tc>
                            <w:tcPr>
                              <w:tcW w:w="0" w:type="auto"/>
                              <w:shd w:val="clear" w:color="auto" w:fill="FFFFFF"/>
                              <w:hideMark/>
                            </w:tcPr>
                            <w:p w14:paraId="4032B36D" w14:textId="77777777" w:rsidR="00563987" w:rsidRPr="00563987" w:rsidRDefault="00563987" w:rsidP="00563987">
                              <w:pPr>
                                <w:rPr>
                                  <w:rFonts w:eastAsiaTheme="minorHAnsi"/>
                                </w:rPr>
                              </w:pPr>
                              <w:r w:rsidRPr="00563987">
                                <w:rPr>
                                  <w:rFonts w:eastAsiaTheme="minorHAnsi"/>
                                </w:rPr>
                                <w:t>Same</w:t>
                              </w:r>
                            </w:p>
                          </w:tc>
                          <w:tc>
                            <w:tcPr>
                              <w:tcW w:w="0" w:type="auto"/>
                              <w:shd w:val="clear" w:color="auto" w:fill="FFFFFF"/>
                              <w:hideMark/>
                            </w:tcPr>
                            <w:p w14:paraId="741A3BFB" w14:textId="77777777" w:rsidR="00563987" w:rsidRPr="00563987" w:rsidRDefault="00563987" w:rsidP="00563987">
                              <w:pPr>
                                <w:rPr>
                                  <w:rFonts w:eastAsiaTheme="minorHAnsi"/>
                                </w:rPr>
                              </w:pPr>
                              <w:r w:rsidRPr="00563987">
                                <w:rPr>
                                  <w:rFonts w:eastAsiaTheme="minorHAnsi"/>
                                  <w:i/>
                                  <w:iCs/>
                                </w:rPr>
                                <w:t>t</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rPr>
                                <w:br/>
                                <w:t> </w:t>
                              </w:r>
                            </w:p>
                          </w:tc>
                          <w:tc>
                            <w:tcPr>
                              <w:tcW w:w="0" w:type="auto"/>
                              <w:shd w:val="clear" w:color="auto" w:fill="FFFFFF"/>
                              <w:hideMark/>
                            </w:tcPr>
                            <w:p w14:paraId="2D7BEECA" w14:textId="77777777" w:rsidR="00563987" w:rsidRPr="00563987" w:rsidRDefault="00563987" w:rsidP="00563987">
                              <w:pPr>
                                <w:rPr>
                                  <w:rFonts w:eastAsiaTheme="minorHAnsi"/>
                                </w:rPr>
                              </w:pPr>
                              <w:r w:rsidRPr="00563987">
                                <w:rPr>
                                  <w:rFonts w:eastAsiaTheme="minorHAnsi"/>
                                </w:rPr>
                                <w:t>Increase</w:t>
                              </w:r>
                            </w:p>
                          </w:tc>
                        </w:tr>
                        <w:tr w:rsidR="00563987" w:rsidRPr="00563987" w14:paraId="516B30FA" w14:textId="77777777">
                          <w:trPr>
                            <w:tblCellSpacing w:w="7" w:type="dxa"/>
                          </w:trPr>
                          <w:tc>
                            <w:tcPr>
                              <w:tcW w:w="0" w:type="auto"/>
                              <w:shd w:val="clear" w:color="auto" w:fill="FFFFFF"/>
                              <w:hideMark/>
                            </w:tcPr>
                            <w:p w14:paraId="2796FACB" w14:textId="77777777" w:rsidR="00563987" w:rsidRPr="00563987" w:rsidRDefault="00563987" w:rsidP="00563987">
                              <w:pPr>
                                <w:rPr>
                                  <w:rFonts w:eastAsiaTheme="minorHAnsi"/>
                                </w:rPr>
                              </w:pPr>
                              <w:r w:rsidRPr="00563987">
                                <w:rPr>
                                  <w:rFonts w:eastAsiaTheme="minorHAnsi"/>
                                </w:rPr>
                                <w:t>[</w:t>
                              </w:r>
                              <w:proofErr w:type="spellStart"/>
                              <w:r w:rsidRPr="00563987">
                                <w:rPr>
                                  <w:rFonts w:eastAsiaTheme="minorHAnsi"/>
                                  <w:i/>
                                  <w:iCs/>
                                </w:rPr>
                                <w:t>dD</w:t>
                              </w:r>
                              <w:proofErr w:type="spellEnd"/>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i/>
                                  <w:iCs/>
                                </w:rPr>
                                <w:t>dt</w:t>
                              </w:r>
                              <w:r w:rsidRPr="00563987">
                                <w:rPr>
                                  <w:rFonts w:eastAsiaTheme="minorHAnsi"/>
                                </w:rPr>
                                <w:t>]</w:t>
                              </w:r>
                              <w:r w:rsidRPr="00563987">
                                <w:rPr>
                                  <w:rFonts w:eastAsiaTheme="minorHAnsi"/>
                                  <w:vertAlign w:val="subscript"/>
                                </w:rPr>
                                <w:t>max</w:t>
                              </w:r>
                              <w:r w:rsidRPr="00563987">
                                <w:rPr>
                                  <w:rFonts w:eastAsiaTheme="minorHAnsi"/>
                                </w:rPr>
                                <w:t xml:space="preserve"> </w:t>
                              </w:r>
                              <w:r w:rsidRPr="00563987">
                                <w:rPr>
                                  <w:rFonts w:eastAsiaTheme="minorHAnsi"/>
                                  <w:vertAlign w:val="superscript"/>
                                </w:rPr>
                                <w:t>a</w:t>
                              </w:r>
                              <w:r w:rsidRPr="00563987">
                                <w:rPr>
                                  <w:rFonts w:eastAsiaTheme="minorHAnsi"/>
                                </w:rPr>
                                <w:t xml:space="preserve"> </w:t>
                              </w:r>
                              <w:r w:rsidRPr="00563987">
                                <w:rPr>
                                  <w:rFonts w:eastAsiaTheme="minorHAnsi"/>
                                </w:rPr>
                                <w:br/>
                                <w:t> </w:t>
                              </w:r>
                            </w:p>
                          </w:tc>
                          <w:tc>
                            <w:tcPr>
                              <w:tcW w:w="0" w:type="auto"/>
                              <w:shd w:val="clear" w:color="auto" w:fill="FFFFFF"/>
                              <w:hideMark/>
                            </w:tcPr>
                            <w:p w14:paraId="66201170" w14:textId="77777777" w:rsidR="00563987" w:rsidRPr="00563987" w:rsidRDefault="00563987" w:rsidP="00563987">
                              <w:pPr>
                                <w:rPr>
                                  <w:rFonts w:eastAsiaTheme="minorHAnsi"/>
                                </w:rPr>
                              </w:pPr>
                              <w:r w:rsidRPr="00563987">
                                <w:rPr>
                                  <w:rFonts w:eastAsiaTheme="minorHAnsi"/>
                                </w:rPr>
                                <w:t>Decrease</w:t>
                              </w:r>
                            </w:p>
                          </w:tc>
                          <w:tc>
                            <w:tcPr>
                              <w:tcW w:w="0" w:type="auto"/>
                              <w:shd w:val="clear" w:color="auto" w:fill="FFFFFF"/>
                              <w:hideMark/>
                            </w:tcPr>
                            <w:p w14:paraId="7749F1C4" w14:textId="77777777" w:rsidR="00563987" w:rsidRPr="00563987" w:rsidRDefault="00563987" w:rsidP="00563987">
                              <w:pPr>
                                <w:rPr>
                                  <w:rFonts w:eastAsiaTheme="minorHAnsi"/>
                                </w:rPr>
                              </w:pPr>
                              <w:r w:rsidRPr="00563987">
                                <w:rPr>
                                  <w:rFonts w:eastAsiaTheme="minorHAnsi"/>
                                </w:rPr>
                                <w:t>[</w:t>
                              </w:r>
                              <w:proofErr w:type="spellStart"/>
                              <w:r w:rsidRPr="00563987">
                                <w:rPr>
                                  <w:rFonts w:eastAsiaTheme="minorHAnsi"/>
                                  <w:i/>
                                  <w:iCs/>
                                </w:rPr>
                                <w:t>dD</w:t>
                              </w:r>
                              <w:proofErr w:type="spellEnd"/>
                              <w:r w:rsidRPr="00563987">
                                <w:rPr>
                                  <w:rFonts w:eastAsiaTheme="minorHAnsi"/>
                                </w:rPr>
                                <w:t xml:space="preserve"> </w:t>
                              </w:r>
                              <w:r w:rsidRPr="00563987">
                                <w:rPr>
                                  <w:rFonts w:eastAsiaTheme="minorHAnsi"/>
                                  <w:vertAlign w:val="subscript"/>
                                </w:rPr>
                                <w:t>u</w:t>
                              </w:r>
                              <w:r w:rsidRPr="00563987">
                                <w:rPr>
                                  <w:rFonts w:eastAsiaTheme="minorHAnsi"/>
                                </w:rPr>
                                <w:t>/</w:t>
                              </w:r>
                              <w:r w:rsidRPr="00563987">
                                <w:rPr>
                                  <w:rFonts w:eastAsiaTheme="minorHAnsi"/>
                                  <w:i/>
                                  <w:iCs/>
                                </w:rPr>
                                <w:t>dt</w:t>
                              </w:r>
                              <w:r w:rsidRPr="00563987">
                                <w:rPr>
                                  <w:rFonts w:eastAsiaTheme="minorHAnsi"/>
                                </w:rPr>
                                <w:t>]</w:t>
                              </w:r>
                              <w:r w:rsidRPr="00563987">
                                <w:rPr>
                                  <w:rFonts w:eastAsiaTheme="minorHAnsi"/>
                                  <w:vertAlign w:val="subscript"/>
                                </w:rPr>
                                <w:t>max</w:t>
                              </w:r>
                              <w:r w:rsidRPr="00563987">
                                <w:rPr>
                                  <w:rFonts w:eastAsiaTheme="minorHAnsi"/>
                                </w:rPr>
                                <w:t xml:space="preserve"> </w:t>
                              </w:r>
                              <w:r w:rsidRPr="00563987">
                                <w:rPr>
                                  <w:rFonts w:eastAsiaTheme="minorHAnsi"/>
                                  <w:vertAlign w:val="superscript"/>
                                </w:rPr>
                                <w:t>a</w:t>
                              </w:r>
                              <w:r w:rsidRPr="00563987">
                                <w:rPr>
                                  <w:rFonts w:eastAsiaTheme="minorHAnsi"/>
                                </w:rPr>
                                <w:t xml:space="preserve"> </w:t>
                              </w:r>
                              <w:r w:rsidRPr="00563987">
                                <w:rPr>
                                  <w:rFonts w:eastAsiaTheme="minorHAnsi"/>
                                </w:rPr>
                                <w:br/>
                                <w:t> </w:t>
                              </w:r>
                            </w:p>
                          </w:tc>
                          <w:tc>
                            <w:tcPr>
                              <w:tcW w:w="0" w:type="auto"/>
                              <w:shd w:val="clear" w:color="auto" w:fill="FFFFFF"/>
                              <w:hideMark/>
                            </w:tcPr>
                            <w:p w14:paraId="6ACCE49C" w14:textId="77777777" w:rsidR="00563987" w:rsidRPr="00563987" w:rsidRDefault="00563987" w:rsidP="00563987">
                              <w:pPr>
                                <w:rPr>
                                  <w:rFonts w:eastAsiaTheme="minorHAnsi"/>
                                </w:rPr>
                              </w:pPr>
                              <w:r w:rsidRPr="00563987">
                                <w:rPr>
                                  <w:rFonts w:eastAsiaTheme="minorHAnsi"/>
                                </w:rPr>
                                <w:t>Decrease</w:t>
                              </w:r>
                            </w:p>
                          </w:tc>
                        </w:tr>
                        <w:tr w:rsidR="00563987" w:rsidRPr="00563987" w14:paraId="1A8BA89E" w14:textId="77777777">
                          <w:trPr>
                            <w:tblCellSpacing w:w="7" w:type="dxa"/>
                          </w:trPr>
                          <w:tc>
                            <w:tcPr>
                              <w:tcW w:w="0" w:type="auto"/>
                              <w:shd w:val="clear" w:color="auto" w:fill="FFFFFF"/>
                              <w:hideMark/>
                            </w:tcPr>
                            <w:p w14:paraId="1842CDD9" w14:textId="77777777" w:rsidR="00563987" w:rsidRPr="00563987" w:rsidRDefault="00563987" w:rsidP="00563987">
                              <w:pPr>
                                <w:rPr>
                                  <w:rFonts w:eastAsiaTheme="minorHAnsi"/>
                                </w:rPr>
                              </w:pPr>
                              <w:r w:rsidRPr="00563987">
                                <w:rPr>
                                  <w:rFonts w:eastAsiaTheme="minorHAnsi"/>
                                  <w:i/>
                                  <w:iCs/>
                                </w:rPr>
                                <w:t>D</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vertAlign w:val="subscript"/>
                                </w:rPr>
                                <w:t>u</w:t>
                              </w:r>
                              <w:r w:rsidRPr="00563987">
                                <w:rPr>
                                  <w:rFonts w:eastAsiaTheme="minorHAnsi"/>
                                </w:rPr>
                                <w:t xml:space="preserve"> </w:t>
                              </w:r>
                              <w:r w:rsidRPr="00563987">
                                <w:rPr>
                                  <w:rFonts w:eastAsiaTheme="minorHAnsi"/>
                                </w:rPr>
                                <w:br/>
                                <w:t> </w:t>
                              </w:r>
                            </w:p>
                          </w:tc>
                          <w:tc>
                            <w:tcPr>
                              <w:tcW w:w="0" w:type="auto"/>
                              <w:shd w:val="clear" w:color="auto" w:fill="FFFFFF"/>
                              <w:hideMark/>
                            </w:tcPr>
                            <w:p w14:paraId="55DFCE4E" w14:textId="77777777" w:rsidR="00563987" w:rsidRPr="00563987" w:rsidRDefault="00563987" w:rsidP="00563987">
                              <w:pPr>
                                <w:rPr>
                                  <w:rFonts w:eastAsiaTheme="minorHAnsi"/>
                                </w:rPr>
                              </w:pPr>
                              <w:r w:rsidRPr="00563987">
                                <w:rPr>
                                  <w:rFonts w:eastAsiaTheme="minorHAnsi"/>
                                </w:rPr>
                                <w:t>Decrease</w:t>
                              </w:r>
                            </w:p>
                          </w:tc>
                          <w:tc>
                            <w:tcPr>
                              <w:tcW w:w="0" w:type="auto"/>
                              <w:shd w:val="clear" w:color="auto" w:fill="FFFFFF"/>
                              <w:hideMark/>
                            </w:tcPr>
                            <w:p w14:paraId="05FA6353" w14:textId="77777777" w:rsidR="00563987" w:rsidRPr="00563987" w:rsidRDefault="00563987" w:rsidP="00563987">
                              <w:pPr>
                                <w:rPr>
                                  <w:rFonts w:eastAsiaTheme="minorHAnsi"/>
                                </w:rPr>
                              </w:pPr>
                              <w:r w:rsidRPr="00563987">
                                <w:rPr>
                                  <w:rFonts w:eastAsiaTheme="minorHAnsi"/>
                                  <w:i/>
                                  <w:iCs/>
                                </w:rPr>
                                <w:t>D</w:t>
                              </w:r>
                              <w:r w:rsidRPr="00563987">
                                <w:rPr>
                                  <w:rFonts w:eastAsiaTheme="minorHAnsi"/>
                                </w:rPr>
                                <w:t xml:space="preserve"> </w:t>
                              </w:r>
                              <w:r w:rsidRPr="00563987">
                                <w:rPr>
                                  <w:rFonts w:eastAsiaTheme="minorHAnsi"/>
                                  <w:vertAlign w:val="superscript"/>
                                </w:rPr>
                                <w:t>∞</w:t>
                              </w:r>
                              <w:r w:rsidRPr="00563987">
                                <w:rPr>
                                  <w:rFonts w:eastAsiaTheme="minorHAnsi"/>
                                </w:rPr>
                                <w:t xml:space="preserve"> </w:t>
                              </w:r>
                              <w:r w:rsidRPr="00563987">
                                <w:rPr>
                                  <w:rFonts w:eastAsiaTheme="minorHAnsi"/>
                                  <w:vertAlign w:val="subscript"/>
                                </w:rPr>
                                <w:t>u</w:t>
                              </w:r>
                              <w:r w:rsidRPr="00563987">
                                <w:rPr>
                                  <w:rFonts w:eastAsiaTheme="minorHAnsi"/>
                                </w:rPr>
                                <w:t xml:space="preserve"> </w:t>
                              </w:r>
                              <w:r w:rsidRPr="00563987">
                                <w:rPr>
                                  <w:rFonts w:eastAsiaTheme="minorHAnsi"/>
                                </w:rPr>
                                <w:br/>
                                <w:t> </w:t>
                              </w:r>
                            </w:p>
                          </w:tc>
                          <w:tc>
                            <w:tcPr>
                              <w:tcW w:w="0" w:type="auto"/>
                              <w:shd w:val="clear" w:color="auto" w:fill="FFFFFF"/>
                              <w:hideMark/>
                            </w:tcPr>
                            <w:p w14:paraId="71C12A96" w14:textId="77777777" w:rsidR="00563987" w:rsidRPr="00563987" w:rsidRDefault="00563987" w:rsidP="00563987">
                              <w:pPr>
                                <w:rPr>
                                  <w:rFonts w:eastAsiaTheme="minorHAnsi"/>
                                </w:rPr>
                              </w:pPr>
                              <w:r w:rsidRPr="00563987">
                                <w:rPr>
                                  <w:rFonts w:eastAsiaTheme="minorHAnsi"/>
                                </w:rPr>
                                <w:t>Same</w:t>
                              </w:r>
                            </w:p>
                          </w:tc>
                        </w:tr>
                      </w:tbl>
                      <w:p w14:paraId="7AD06D11" w14:textId="77777777" w:rsidR="00563987" w:rsidRPr="00563987" w:rsidRDefault="00563987" w:rsidP="00563987">
                        <w:pPr>
                          <w:rPr>
                            <w:rFonts w:eastAsiaTheme="minorHAnsi"/>
                          </w:rPr>
                        </w:pPr>
                      </w:p>
                    </w:tc>
                  </w:tr>
                  <w:tr w:rsidR="00563987" w:rsidRPr="00563987" w14:paraId="1A67FE05" w14:textId="77777777">
                    <w:trPr>
                      <w:tblCellSpacing w:w="0" w:type="dxa"/>
                    </w:trPr>
                    <w:tc>
                      <w:tcPr>
                        <w:tcW w:w="0" w:type="auto"/>
                        <w:shd w:val="clear" w:color="auto" w:fill="FFFFFF"/>
                        <w:vAlign w:val="center"/>
                        <w:hideMark/>
                      </w:tcPr>
                      <w:p w14:paraId="37859312" w14:textId="585AD1C5" w:rsidR="00563987" w:rsidRPr="00563987" w:rsidRDefault="00563987" w:rsidP="00563987">
                        <w:pPr>
                          <w:rPr>
                            <w:rFonts w:eastAsiaTheme="minorHAnsi"/>
                          </w:rPr>
                        </w:pPr>
                        <w:bookmarkStart w:id="151" w:name="2481837"/>
                        <w:bookmarkEnd w:id="151"/>
                      </w:p>
                    </w:tc>
                  </w:tr>
                </w:tbl>
                <w:p w14:paraId="2288CF8C" w14:textId="77777777" w:rsidR="00563987" w:rsidRPr="00563987" w:rsidRDefault="00563987" w:rsidP="00563987">
                  <w:pPr>
                    <w:rPr>
                      <w:rFonts w:eastAsiaTheme="minorHAnsi"/>
                    </w:rPr>
                  </w:pPr>
                </w:p>
              </w:tc>
            </w:tr>
          </w:tbl>
          <w:p w14:paraId="09A0414B" w14:textId="77777777" w:rsidR="00563987" w:rsidRPr="00563987" w:rsidRDefault="00563987" w:rsidP="00563987">
            <w:pPr>
              <w:rPr>
                <w:rFonts w:eastAsiaTheme="minorHAnsi"/>
                <w:vanish/>
              </w:rPr>
            </w:pPr>
            <w:bookmarkStart w:id="152" w:name="2481747"/>
            <w:bookmarkEnd w:id="152"/>
          </w:p>
          <w:p w14:paraId="6E6A8BBF" w14:textId="77777777" w:rsidR="00563987" w:rsidRPr="00563987" w:rsidRDefault="00563987" w:rsidP="00563987">
            <w:pPr>
              <w:rPr>
                <w:rFonts w:eastAsiaTheme="minorHAnsi"/>
                <w:vanish/>
              </w:rPr>
            </w:pPr>
            <w:bookmarkStart w:id="153" w:name="2481775"/>
            <w:bookmarkEnd w:id="153"/>
          </w:p>
          <w:p w14:paraId="612912EE" w14:textId="77777777" w:rsidR="00563987" w:rsidRPr="00563987" w:rsidRDefault="00563987" w:rsidP="00563987">
            <w:pPr>
              <w:rPr>
                <w:rFonts w:eastAsiaTheme="minorHAnsi"/>
                <w:vanish/>
              </w:rPr>
            </w:pPr>
            <w:bookmarkStart w:id="154" w:name="2481795"/>
            <w:bookmarkEnd w:id="154"/>
          </w:p>
          <w:p w14:paraId="29C9B565" w14:textId="77777777" w:rsidR="00563987" w:rsidRPr="00563987" w:rsidRDefault="00563987" w:rsidP="00563987">
            <w:pPr>
              <w:rPr>
                <w:rFonts w:eastAsiaTheme="minorHAnsi"/>
                <w:vanish/>
              </w:rPr>
            </w:pPr>
          </w:p>
          <w:p w14:paraId="2537A686" w14:textId="77777777" w:rsidR="00563987" w:rsidRPr="00563987" w:rsidRDefault="00563987" w:rsidP="00563987">
            <w:pPr>
              <w:rPr>
                <w:rFonts w:eastAsiaTheme="minorHAnsi"/>
              </w:rPr>
            </w:pPr>
          </w:p>
        </w:tc>
        <w:tc>
          <w:tcPr>
            <w:tcW w:w="150" w:type="dxa"/>
            <w:vAlign w:val="center"/>
            <w:hideMark/>
          </w:tcPr>
          <w:p w14:paraId="62FC1D0C" w14:textId="7D605B15" w:rsidR="00563987" w:rsidRPr="00563987" w:rsidRDefault="00563987" w:rsidP="00563987">
            <w:pPr>
              <w:rPr>
                <w:rFonts w:eastAsiaTheme="minorHAnsi"/>
              </w:rPr>
            </w:pPr>
            <w:r w:rsidRPr="00563987">
              <w:rPr>
                <w:rFonts w:eastAsiaTheme="minorHAnsi"/>
                <w:noProof/>
              </w:rPr>
              <w:lastRenderedPageBreak/>
              <mc:AlternateContent>
                <mc:Choice Requires="wps">
                  <w:drawing>
                    <wp:inline distT="0" distB="0" distL="0" distR="0" wp14:anchorId="2266150A" wp14:editId="3CD2C871">
                      <wp:extent cx="95250" cy="95250"/>
                      <wp:effectExtent l="0" t="0" r="0" b="0"/>
                      <wp:docPr id="341811453"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42E56" id="Rectangl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B438839" w14:textId="77777777" w:rsidR="00563987" w:rsidRPr="00563987" w:rsidRDefault="00563987" w:rsidP="00563987">
      <w:pPr>
        <w:rPr>
          <w:rFonts w:eastAsiaTheme="minorHAnsi"/>
          <w:vanish/>
        </w:rPr>
      </w:pPr>
    </w:p>
    <w:sectPr w:rsidR="00563987" w:rsidRPr="00563987" w:rsidSect="00AB2EF3">
      <w:footerReference w:type="default" r:id="rId9"/>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EEAE4" w14:textId="77777777" w:rsidR="00331D6C" w:rsidRDefault="00331D6C">
      <w:r>
        <w:separator/>
      </w:r>
    </w:p>
  </w:endnote>
  <w:endnote w:type="continuationSeparator" w:id="0">
    <w:p w14:paraId="4F5117FA" w14:textId="77777777" w:rsidR="00331D6C" w:rsidRDefault="0033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630F" w14:textId="77777777" w:rsidR="00331D6C" w:rsidRDefault="00331D6C">
      <w:r>
        <w:separator/>
      </w:r>
    </w:p>
  </w:footnote>
  <w:footnote w:type="continuationSeparator" w:id="0">
    <w:p w14:paraId="0D58711D" w14:textId="77777777" w:rsidR="00331D6C" w:rsidRDefault="0033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261E"/>
    <w:rsid w:val="00033DBA"/>
    <w:rsid w:val="000356EA"/>
    <w:rsid w:val="000362C3"/>
    <w:rsid w:val="000443F2"/>
    <w:rsid w:val="00064249"/>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97045"/>
    <w:rsid w:val="002A6BB2"/>
    <w:rsid w:val="002B42AB"/>
    <w:rsid w:val="002C5EEF"/>
    <w:rsid w:val="002D2465"/>
    <w:rsid w:val="002D2EE2"/>
    <w:rsid w:val="002E4FA7"/>
    <w:rsid w:val="002E56F3"/>
    <w:rsid w:val="002F28E3"/>
    <w:rsid w:val="003010D9"/>
    <w:rsid w:val="00303184"/>
    <w:rsid w:val="003069A6"/>
    <w:rsid w:val="0033077F"/>
    <w:rsid w:val="00331D6C"/>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42D"/>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56141"/>
    <w:rsid w:val="00563987"/>
    <w:rsid w:val="005656B1"/>
    <w:rsid w:val="00572ACA"/>
    <w:rsid w:val="00584F55"/>
    <w:rsid w:val="0059141D"/>
    <w:rsid w:val="005A257C"/>
    <w:rsid w:val="005A2A5B"/>
    <w:rsid w:val="005A4155"/>
    <w:rsid w:val="005B0456"/>
    <w:rsid w:val="005B3A17"/>
    <w:rsid w:val="005B40CC"/>
    <w:rsid w:val="005D330D"/>
    <w:rsid w:val="005D4D69"/>
    <w:rsid w:val="005D514C"/>
    <w:rsid w:val="005D65F9"/>
    <w:rsid w:val="005E55A5"/>
    <w:rsid w:val="005F0B8C"/>
    <w:rsid w:val="005F2DF1"/>
    <w:rsid w:val="005F5330"/>
    <w:rsid w:val="005F5DF3"/>
    <w:rsid w:val="00606C70"/>
    <w:rsid w:val="0061536A"/>
    <w:rsid w:val="00617B76"/>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15B"/>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2FC9"/>
    <w:rsid w:val="00914454"/>
    <w:rsid w:val="0091679E"/>
    <w:rsid w:val="009172C0"/>
    <w:rsid w:val="00924A81"/>
    <w:rsid w:val="00924CEB"/>
    <w:rsid w:val="00926953"/>
    <w:rsid w:val="0092702C"/>
    <w:rsid w:val="00941506"/>
    <w:rsid w:val="00943282"/>
    <w:rsid w:val="009442B9"/>
    <w:rsid w:val="00944735"/>
    <w:rsid w:val="00951861"/>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42BA5"/>
    <w:rsid w:val="00A507A2"/>
    <w:rsid w:val="00A510B1"/>
    <w:rsid w:val="00A55E70"/>
    <w:rsid w:val="00A730C7"/>
    <w:rsid w:val="00A76581"/>
    <w:rsid w:val="00A83664"/>
    <w:rsid w:val="00A8366F"/>
    <w:rsid w:val="00A85600"/>
    <w:rsid w:val="00AA2B56"/>
    <w:rsid w:val="00AA5BF6"/>
    <w:rsid w:val="00AB2EF3"/>
    <w:rsid w:val="00AC095E"/>
    <w:rsid w:val="00AD398F"/>
    <w:rsid w:val="00AD6DC8"/>
    <w:rsid w:val="00AD7026"/>
    <w:rsid w:val="00AD779F"/>
    <w:rsid w:val="00AE317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A4CEC"/>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227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729FB"/>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4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12280519">
      <w:bodyDiv w:val="1"/>
      <w:marLeft w:val="0"/>
      <w:marRight w:val="0"/>
      <w:marTop w:val="0"/>
      <w:marBottom w:val="0"/>
      <w:divBdr>
        <w:top w:val="none" w:sz="0" w:space="0" w:color="auto"/>
        <w:left w:val="none" w:sz="0" w:space="0" w:color="auto"/>
        <w:bottom w:val="none" w:sz="0" w:space="0" w:color="auto"/>
        <w:right w:val="none" w:sz="0" w:space="0" w:color="auto"/>
      </w:divBdr>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48195944">
      <w:bodyDiv w:val="1"/>
      <w:marLeft w:val="0"/>
      <w:marRight w:val="0"/>
      <w:marTop w:val="0"/>
      <w:marBottom w:val="0"/>
      <w:divBdr>
        <w:top w:val="none" w:sz="0" w:space="0" w:color="auto"/>
        <w:left w:val="none" w:sz="0" w:space="0" w:color="auto"/>
        <w:bottom w:val="none" w:sz="0" w:space="0" w:color="auto"/>
        <w:right w:val="none" w:sz="0" w:space="0" w:color="auto"/>
      </w:divBdr>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0311365">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77621266">
      <w:bodyDiv w:val="1"/>
      <w:marLeft w:val="0"/>
      <w:marRight w:val="0"/>
      <w:marTop w:val="0"/>
      <w:marBottom w:val="0"/>
      <w:divBdr>
        <w:top w:val="none" w:sz="0" w:space="0" w:color="auto"/>
        <w:left w:val="none" w:sz="0" w:space="0" w:color="auto"/>
        <w:bottom w:val="none" w:sz="0" w:space="0" w:color="auto"/>
        <w:right w:val="none" w:sz="0" w:space="0" w:color="auto"/>
      </w:divBdr>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02835976">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3" Type="http://schemas.openxmlformats.org/officeDocument/2006/relationships/settings" Target="settings.xml"/><Relationship Id="rId7" Type="http://schemas.openxmlformats.org/officeDocument/2006/relationships/hyperlink" Target="javascript:window.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17</Pages>
  <Words>10098</Words>
  <Characters>57561</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75</cp:revision>
  <cp:lastPrinted>2022-07-19T03:16:00Z</cp:lastPrinted>
  <dcterms:created xsi:type="dcterms:W3CDTF">2022-02-22T21:31:00Z</dcterms:created>
  <dcterms:modified xsi:type="dcterms:W3CDTF">2025-01-15T13:09:00Z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