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2" w:rsidRPr="00E60EF9" w:rsidRDefault="00612395" w:rsidP="00E60E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Spirochetes</w:t>
      </w:r>
    </w:p>
    <w:p w:rsidR="009D1E57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The spirochetes are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long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slender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helically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coiled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spiral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, or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corkscrew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shaped bacilli. </w:t>
      </w:r>
      <w:r w:rsidR="00612395"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has an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outer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sheath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. Inside the sheath is the outer membrane, which contains peptidoglycan and maintains the structural integrity of the organisms.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Endoflagella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axial filaments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) are the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flagella-like organelles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in the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periplasmic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space </w:t>
      </w:r>
      <w:r w:rsidR="00983788" w:rsidRPr="00E60EF9">
        <w:rPr>
          <w:rFonts w:asciiTheme="majorBidi" w:hAnsiTheme="majorBidi" w:cstheme="majorBidi"/>
          <w:sz w:val="28"/>
          <w:szCs w:val="28"/>
          <w:lang w:bidi="ar-IQ"/>
        </w:rPr>
        <w:t>coated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by the outer membrane. The endoflagella begin at each end of the organism and wind around it, extending to and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overlapping</w:t>
      </w:r>
      <w:r w:rsidR="00983788" w:rsidRPr="00E60EF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يتشابك</w:t>
      </w:r>
      <w:r w:rsidR="00983788" w:rsidRPr="00E60E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at the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midpoint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. Inside the endoflagella is the inner membrane (cytoplasmic membrane) that provides osmotic stability and covers the protoplasmic cylinder. A series of cytoplasmic tubules (body fibrils) are inside the cell near the inner membrane. Treponemes reproduce by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transverse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12395"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fission</w:t>
      </w:r>
      <w:r w:rsidR="00612395" w:rsidRPr="00E60EF9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E0356" w:rsidRPr="00E60EF9">
        <w:rPr>
          <w:rFonts w:asciiTheme="majorBidi" w:hAnsiTheme="majorBidi" w:cstheme="majorBidi"/>
          <w:sz w:val="28"/>
          <w:szCs w:val="28"/>
        </w:rPr>
        <w:t xml:space="preserve"> </w:t>
      </w: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2288FBDE" wp14:editId="7C33391B">
            <wp:simplePos x="0" y="0"/>
            <wp:positionH relativeFrom="column">
              <wp:posOffset>833755</wp:posOffset>
            </wp:positionH>
            <wp:positionV relativeFrom="paragraph">
              <wp:posOffset>31115</wp:posOffset>
            </wp:positionV>
            <wp:extent cx="4476750" cy="3145155"/>
            <wp:effectExtent l="0" t="0" r="0" b="0"/>
            <wp:wrapSquare wrapText="bothSides"/>
            <wp:docPr id="14" name="صورة 14" descr="https://qph.cf2.quoracdn.net/main-qimg-e4361dfd7e2960fe192b8a5fb4f3f862-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ph.cf2.quoracdn.net/main-qimg-e4361dfd7e2960fe192b8a5fb4f3f862-l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0EF9" w:rsidRP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E225D" w:rsidRPr="00E60EF9" w:rsidRDefault="009E225D" w:rsidP="00E60E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TREPONEMA PALLIDUM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AND SYPHILIS</w:t>
      </w:r>
    </w:p>
    <w:p w:rsidR="00144128" w:rsidRPr="00E60EF9" w:rsidRDefault="009E225D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Morphology and Identification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E225D" w:rsidRPr="00E60EF9" w:rsidRDefault="009E225D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A. Typical Organisms</w:t>
      </w:r>
      <w:r w:rsidR="00144128" w:rsidRPr="00E60EF9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slender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spirals measuring about 0.2 μm in width and 5–15 μm in length. The spiral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coils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regularly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spaced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at a distance of 1 μm from one another. The organisms are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actively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motile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>, rotating steadily</w:t>
      </w:r>
      <w:r w:rsidR="00EE0356" w:rsidRPr="00E60E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تدور </w:t>
      </w:r>
      <w:r w:rsidR="00EE0356" w:rsidRPr="00E60EF9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بثبات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around their endoflagella even after attaching to cells by their tapered ends</w:t>
      </w:r>
      <w:r w:rsidR="00EE0356" w:rsidRPr="00E60EF9">
        <w:rPr>
          <w:rFonts w:asciiTheme="majorBidi" w:hAnsiTheme="majorBidi" w:cstheme="majorBidi"/>
          <w:sz w:val="28"/>
          <w:szCs w:val="28"/>
          <w:rtl/>
          <w:lang w:bidi="ar-IQ"/>
        </w:rPr>
        <w:t>نهايات مستدقة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. The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long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axis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of the spiral is ordinarily straight but may sometimes bend</w:t>
      </w:r>
      <w:r w:rsidR="00EE0356" w:rsidRPr="00E60EF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ينحني 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so that the organism forms a complete circle for moments at a time, returning then to its normal straight position. The spirals are so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thin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that they are not readily seen unless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immunofluorescent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stain or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dark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field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illumination is used. They do not stain well with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aniline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dyes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, but they can be seen in tissues when stained by a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silver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impregnation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method.</w:t>
      </w:r>
    </w:p>
    <w:p w:rsidR="00A91822" w:rsidRPr="00E60EF9" w:rsidRDefault="00047871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B. Culture 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Pathogenic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has never been cultured continuously on artificial media, in fertile eggs, or in tissue culture.</w:t>
      </w:r>
    </w:p>
    <w:p w:rsidR="00047871" w:rsidRPr="00E60EF9" w:rsidRDefault="00047871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In proper suspending fluids and in the presence of reducing substances,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may remain motile for 3–6 days at 25°C. In whole blood or plasma stored at 4°C, organisms remain viable for at least 24 hours, which is of potential importance in blood transfusions.</w:t>
      </w:r>
    </w:p>
    <w:p w:rsidR="00C55FBF" w:rsidRPr="00E60EF9" w:rsidRDefault="00C55FBF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Antigenic Structure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The outer membrane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The peptidoglycan–cytoplasmic membrane complex. 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Membrane proteins are present that contain covalently bound lipids at their amino terminals. 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The lipids appear to anchor the proteins to the cytoplasmic or outer membranes.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The endoflagella are in the periplasmic space.</w:t>
      </w:r>
    </w:p>
    <w:p w:rsidR="00C55FBF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has hyaluronidase.</w:t>
      </w:r>
    </w:p>
    <w:p w:rsidR="00AF630E" w:rsidRPr="00E60EF9" w:rsidRDefault="00C55FBF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The endoflagella are composed of three core proteins that are homologous to other bacterial flagellin</w:t>
      </w:r>
      <w:r w:rsidR="00AF630E"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proteins plus an unrelated sheath protein. </w:t>
      </w:r>
    </w:p>
    <w:p w:rsidR="00C55FBF" w:rsidRPr="00E60EF9" w:rsidRDefault="00AF630E" w:rsidP="00E60E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Cardiolipin is an important component of the treponemal antigens.</w:t>
      </w:r>
    </w:p>
    <w:p w:rsid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60EF9" w:rsidRDefault="00E60EF9" w:rsidP="00E60EF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F630E" w:rsidRPr="00E60EF9" w:rsidRDefault="00AF630E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Pathogenesis, Pathology, and Clinical Findings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F630E" w:rsidRPr="00E60EF9" w:rsidRDefault="00AF630E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Acquired Syphilis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AF630E" w:rsidRPr="00E60EF9" w:rsidRDefault="00AF630E" w:rsidP="00E60EF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Natural infection with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is limited to the human host.</w:t>
      </w:r>
    </w:p>
    <w:p w:rsidR="00AF630E" w:rsidRPr="00E60EF9" w:rsidRDefault="00AF630E" w:rsidP="00E60EF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Human infection is usually transmitted by sexual contact, and the infectious lesion is on the skin or mucous membranes of genitalia.</w:t>
      </w:r>
    </w:p>
    <w:p w:rsidR="00AF630E" w:rsidRPr="00E60EF9" w:rsidRDefault="00AF630E" w:rsidP="00E60EF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 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can probably penetrate intact mucous membranes, or the organisms may enter through a break in the epidermis. </w:t>
      </w:r>
    </w:p>
    <w:p w:rsidR="00C55FBF" w:rsidRPr="00E60EF9" w:rsidRDefault="00AF630E" w:rsidP="00E60EF9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Spirochetes multiply locally at the site of entry, and some spread to nearby lymph nodes and then reach the bloodstream. Within 2–10 weeks after infection, a papule develops at the site of infection and breaks down to form an ulcer with a clean, hard base (“hard chancre”). e. t. c.</w:t>
      </w:r>
    </w:p>
    <w:p w:rsidR="000467F9" w:rsidRPr="00E60EF9" w:rsidRDefault="000467F9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B. Congenital Syphilis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A pregnant woman with syphilis can transmit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T.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EF9">
        <w:rPr>
          <w:rFonts w:asciiTheme="majorBidi" w:hAnsiTheme="majorBidi" w:cstheme="majorBidi"/>
          <w:i/>
          <w:iCs/>
          <w:sz w:val="28"/>
          <w:szCs w:val="28"/>
          <w:lang w:bidi="ar-IQ"/>
        </w:rPr>
        <w:t>pallidum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to the fetus through the placenta beginning in the 10th–15th weeks of gestation.</w:t>
      </w:r>
    </w:p>
    <w:p w:rsidR="006675B0" w:rsidRPr="00E60EF9" w:rsidRDefault="006675B0" w:rsidP="00E60E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Diagnostic Laboratory Tests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675B0" w:rsidRPr="00E60EF9" w:rsidRDefault="006675B0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A. Specimens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>: Specimens include tissue fluid expressed from early surface lesions for demonstration of spirochetes by either dark-field microscopy or immunofluorescence; such specimens can also be tested by nucleic acid amplification. Blood can be obtained for serologic tests; cerebrospinal fluid (CSF) is useful for Venereal Disease Research Laboratory.</w:t>
      </w:r>
    </w:p>
    <w:p w:rsidR="000467F9" w:rsidRPr="00E60EF9" w:rsidRDefault="006675B0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B. Dark-Field Examination 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>A drop of tissue fluid or exudate is placed on a slide, and a coverslip is pressed over it to make a thin layer.</w:t>
      </w:r>
    </w:p>
    <w:p w:rsidR="006675B0" w:rsidRPr="00E60EF9" w:rsidRDefault="006675B0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sz w:val="28"/>
          <w:szCs w:val="28"/>
          <w:lang w:bidi="ar-IQ"/>
        </w:rPr>
        <w:t>C. Immunofluorescence Tissue fluid or exudate is spread on a glass slide, air-dried, and sent to the laboratory.</w:t>
      </w:r>
    </w:p>
    <w:p w:rsidR="006675B0" w:rsidRPr="00E60EF9" w:rsidRDefault="006675B0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b/>
          <w:bCs/>
          <w:sz w:val="28"/>
          <w:szCs w:val="28"/>
          <w:lang w:bidi="ar-IQ"/>
        </w:rPr>
        <w:t>D. Serologic Tests for Syphilis</w:t>
      </w:r>
      <w:r w:rsidRPr="00E60EF9">
        <w:rPr>
          <w:rFonts w:asciiTheme="majorBidi" w:hAnsiTheme="majorBidi" w:cstheme="majorBidi"/>
          <w:sz w:val="28"/>
          <w:szCs w:val="28"/>
          <w:lang w:bidi="ar-IQ"/>
        </w:rPr>
        <w:t xml:space="preserve"> These tests use either nontreponemal or treponemal antigens.</w:t>
      </w:r>
    </w:p>
    <w:p w:rsidR="00675C72" w:rsidRPr="00E60EF9" w:rsidRDefault="00675C72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75C72" w:rsidRPr="00E60EF9" w:rsidRDefault="00675C72" w:rsidP="00E60EF9">
      <w:pPr>
        <w:pStyle w:val="a5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75C72" w:rsidRPr="00E60EF9" w:rsidRDefault="00675C72" w:rsidP="00E60EF9">
      <w:pPr>
        <w:pStyle w:val="a5"/>
        <w:spacing w:after="0" w:line="360" w:lineRule="auto"/>
        <w:ind w:left="142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60EF9">
        <w:rPr>
          <w:rFonts w:asciiTheme="majorBidi" w:hAnsiTheme="majorBidi" w:cstheme="majorBidi"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5422A942" wp14:editId="50C42AE8">
            <wp:extent cx="5943600" cy="5448563"/>
            <wp:effectExtent l="0" t="0" r="0" b="0"/>
            <wp:docPr id="264" name="صورة 264" descr="https://lh3.googleusercontent.com/8xE3UzuHwClFeOqs7oZIyVKWODvYpcK2y-hXwqmWEHz5EXcuwbNX4non1eHELO1fpn0BioUhpbaN1M542etNaTmldraxouHv0cEFNp9ypm1TIiBXvvI4auSPyiAsw3zJLcQ3WNvCiT3DKTlrp4YlraSFzTVmM-v5nie12GFtGe64gZYq8BZaesub2xdkDmsUP9Wlv_v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xE3UzuHwClFeOqs7oZIyVKWODvYpcK2y-hXwqmWEHz5EXcuwbNX4non1eHELO1fpn0BioUhpbaN1M542etNaTmldraxouHv0cEFNp9ypm1TIiBXvvI4auSPyiAsw3zJLcQ3WNvCiT3DKTlrp4YlraSFzTVmM-v5nie12GFtGe64gZYq8BZaesub2xdkDmsUP9Wlv_vpB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B0" w:rsidRPr="00E60EF9" w:rsidRDefault="006675B0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675B0" w:rsidRPr="00E60EF9" w:rsidRDefault="006675B0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p w:rsidR="00675C72" w:rsidRPr="00E60EF9" w:rsidRDefault="00675C72" w:rsidP="00E60E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</w:p>
    <w:sectPr w:rsidR="00675C72" w:rsidRPr="00E60EF9" w:rsidSect="00F468EF">
      <w:footerReference w:type="default" r:id="rId11"/>
      <w:pgSz w:w="12240" w:h="15840"/>
      <w:pgMar w:top="1170" w:right="1440" w:bottom="993" w:left="1440" w:header="70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34" w:rsidRDefault="00CB6E34" w:rsidP="00AF42EB">
      <w:pPr>
        <w:spacing w:after="0" w:line="240" w:lineRule="auto"/>
      </w:pPr>
      <w:r>
        <w:separator/>
      </w:r>
    </w:p>
  </w:endnote>
  <w:endnote w:type="continuationSeparator" w:id="0">
    <w:p w:rsidR="00CB6E34" w:rsidRDefault="00CB6E34" w:rsidP="00AF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63341"/>
      <w:docPartObj>
        <w:docPartGallery w:val="Page Numbers (Bottom of Page)"/>
        <w:docPartUnique/>
      </w:docPartObj>
    </w:sdtPr>
    <w:sdtContent>
      <w:p w:rsidR="00470F2B" w:rsidRDefault="00470F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0F2B">
          <w:rPr>
            <w:noProof/>
            <w:lang w:val="ar-SA"/>
          </w:rPr>
          <w:t>4</w:t>
        </w:r>
        <w:r>
          <w:fldChar w:fldCharType="end"/>
        </w:r>
      </w:p>
    </w:sdtContent>
  </w:sdt>
  <w:p w:rsidR="00983788" w:rsidRDefault="00983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34" w:rsidRDefault="00CB6E34" w:rsidP="00AF42EB">
      <w:pPr>
        <w:spacing w:after="0" w:line="240" w:lineRule="auto"/>
      </w:pPr>
      <w:r>
        <w:separator/>
      </w:r>
    </w:p>
  </w:footnote>
  <w:footnote w:type="continuationSeparator" w:id="0">
    <w:p w:rsidR="00CB6E34" w:rsidRDefault="00CB6E34" w:rsidP="00AF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536D"/>
      </v:shape>
    </w:pict>
  </w:numPicBullet>
  <w:abstractNum w:abstractNumId="0">
    <w:nsid w:val="046D759F"/>
    <w:multiLevelType w:val="hybridMultilevel"/>
    <w:tmpl w:val="5D84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60D"/>
    <w:multiLevelType w:val="hybridMultilevel"/>
    <w:tmpl w:val="A39A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7DCE"/>
    <w:multiLevelType w:val="hybridMultilevel"/>
    <w:tmpl w:val="4E544E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E91515"/>
    <w:multiLevelType w:val="hybridMultilevel"/>
    <w:tmpl w:val="BFAA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07B92"/>
    <w:multiLevelType w:val="hybridMultilevel"/>
    <w:tmpl w:val="FBCA1816"/>
    <w:lvl w:ilvl="0" w:tplc="C750DBF6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F1584"/>
    <w:multiLevelType w:val="hybridMultilevel"/>
    <w:tmpl w:val="309C28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74C5B"/>
    <w:multiLevelType w:val="hybridMultilevel"/>
    <w:tmpl w:val="5F0A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237AF"/>
    <w:multiLevelType w:val="multilevel"/>
    <w:tmpl w:val="06B8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0172C59"/>
    <w:multiLevelType w:val="hybridMultilevel"/>
    <w:tmpl w:val="A134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043AF"/>
    <w:multiLevelType w:val="hybridMultilevel"/>
    <w:tmpl w:val="62303C5E"/>
    <w:lvl w:ilvl="0" w:tplc="001EBB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D106B"/>
    <w:multiLevelType w:val="hybridMultilevel"/>
    <w:tmpl w:val="2C3A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40CB9"/>
    <w:multiLevelType w:val="multilevel"/>
    <w:tmpl w:val="8D1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734725"/>
    <w:multiLevelType w:val="hybridMultilevel"/>
    <w:tmpl w:val="AF585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75C93"/>
    <w:multiLevelType w:val="hybridMultilevel"/>
    <w:tmpl w:val="8FDA4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11242F"/>
    <w:multiLevelType w:val="multilevel"/>
    <w:tmpl w:val="BA9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0F6862"/>
    <w:multiLevelType w:val="hybridMultilevel"/>
    <w:tmpl w:val="068A4F02"/>
    <w:lvl w:ilvl="0" w:tplc="0D0A7752">
      <w:start w:val="1"/>
      <w:numFmt w:val="decimal"/>
      <w:lvlText w:val="%1-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A4A20"/>
    <w:multiLevelType w:val="hybridMultilevel"/>
    <w:tmpl w:val="CC64B4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5"/>
  </w:num>
  <w:num w:numId="26">
    <w:abstractNumId w:val="12"/>
  </w:num>
  <w:num w:numId="27">
    <w:abstractNumId w:val="6"/>
  </w:num>
  <w:num w:numId="28">
    <w:abstractNumId w:val="11"/>
  </w:num>
  <w:num w:numId="29">
    <w:abstractNumId w:val="14"/>
  </w:num>
  <w:num w:numId="30">
    <w:abstractNumId w:val="10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D8"/>
    <w:rsid w:val="00001846"/>
    <w:rsid w:val="00007799"/>
    <w:rsid w:val="000126F6"/>
    <w:rsid w:val="00016816"/>
    <w:rsid w:val="0002139B"/>
    <w:rsid w:val="00022E3C"/>
    <w:rsid w:val="000316D3"/>
    <w:rsid w:val="000317EF"/>
    <w:rsid w:val="000407A1"/>
    <w:rsid w:val="00046365"/>
    <w:rsid w:val="000467F9"/>
    <w:rsid w:val="00047871"/>
    <w:rsid w:val="000513CE"/>
    <w:rsid w:val="000677F9"/>
    <w:rsid w:val="000708CB"/>
    <w:rsid w:val="00070E5A"/>
    <w:rsid w:val="000775F2"/>
    <w:rsid w:val="000873DB"/>
    <w:rsid w:val="000910F8"/>
    <w:rsid w:val="00091C7E"/>
    <w:rsid w:val="00093235"/>
    <w:rsid w:val="000B2ADD"/>
    <w:rsid w:val="000B3EF5"/>
    <w:rsid w:val="000B4F5C"/>
    <w:rsid w:val="000C14B2"/>
    <w:rsid w:val="000C6E48"/>
    <w:rsid w:val="000D395B"/>
    <w:rsid w:val="000D3EBA"/>
    <w:rsid w:val="000E7E30"/>
    <w:rsid w:val="001066FE"/>
    <w:rsid w:val="001074D1"/>
    <w:rsid w:val="0011302C"/>
    <w:rsid w:val="0011744D"/>
    <w:rsid w:val="0012765D"/>
    <w:rsid w:val="00133F3B"/>
    <w:rsid w:val="001344A7"/>
    <w:rsid w:val="00144128"/>
    <w:rsid w:val="001535AD"/>
    <w:rsid w:val="001656B7"/>
    <w:rsid w:val="00170CFD"/>
    <w:rsid w:val="00170F57"/>
    <w:rsid w:val="001764EE"/>
    <w:rsid w:val="00180268"/>
    <w:rsid w:val="00186D7D"/>
    <w:rsid w:val="00195C26"/>
    <w:rsid w:val="001A0E23"/>
    <w:rsid w:val="001A47A7"/>
    <w:rsid w:val="001A5FF9"/>
    <w:rsid w:val="001A69D9"/>
    <w:rsid w:val="001B2619"/>
    <w:rsid w:val="001B2BF2"/>
    <w:rsid w:val="001B4B0E"/>
    <w:rsid w:val="001C1CDB"/>
    <w:rsid w:val="001C585C"/>
    <w:rsid w:val="001C6F12"/>
    <w:rsid w:val="001C78A9"/>
    <w:rsid w:val="001D2158"/>
    <w:rsid w:val="001E3695"/>
    <w:rsid w:val="001E7982"/>
    <w:rsid w:val="00204522"/>
    <w:rsid w:val="00206800"/>
    <w:rsid w:val="00212C17"/>
    <w:rsid w:val="002265DB"/>
    <w:rsid w:val="00243C1A"/>
    <w:rsid w:val="0024760D"/>
    <w:rsid w:val="00247AFD"/>
    <w:rsid w:val="002657AB"/>
    <w:rsid w:val="0027296B"/>
    <w:rsid w:val="002765FC"/>
    <w:rsid w:val="002808E9"/>
    <w:rsid w:val="0028154C"/>
    <w:rsid w:val="002904BB"/>
    <w:rsid w:val="002A01F0"/>
    <w:rsid w:val="002A4E14"/>
    <w:rsid w:val="002B10AD"/>
    <w:rsid w:val="002D0BA1"/>
    <w:rsid w:val="002D11B5"/>
    <w:rsid w:val="002D12D7"/>
    <w:rsid w:val="002D2FD2"/>
    <w:rsid w:val="002E0C63"/>
    <w:rsid w:val="002E5580"/>
    <w:rsid w:val="002E68E7"/>
    <w:rsid w:val="002E6D7E"/>
    <w:rsid w:val="002E71F0"/>
    <w:rsid w:val="002F006D"/>
    <w:rsid w:val="002F013B"/>
    <w:rsid w:val="002F1A31"/>
    <w:rsid w:val="002F7945"/>
    <w:rsid w:val="003063EA"/>
    <w:rsid w:val="003116EA"/>
    <w:rsid w:val="00314034"/>
    <w:rsid w:val="00314ADC"/>
    <w:rsid w:val="00315406"/>
    <w:rsid w:val="00330D0C"/>
    <w:rsid w:val="00330D66"/>
    <w:rsid w:val="00333C56"/>
    <w:rsid w:val="003442FC"/>
    <w:rsid w:val="00344CD4"/>
    <w:rsid w:val="0035771D"/>
    <w:rsid w:val="00360161"/>
    <w:rsid w:val="00374239"/>
    <w:rsid w:val="00386393"/>
    <w:rsid w:val="00386D28"/>
    <w:rsid w:val="00387E73"/>
    <w:rsid w:val="0039046B"/>
    <w:rsid w:val="003A288B"/>
    <w:rsid w:val="003A2CE3"/>
    <w:rsid w:val="003A645F"/>
    <w:rsid w:val="003B6D64"/>
    <w:rsid w:val="003B716A"/>
    <w:rsid w:val="003C2A44"/>
    <w:rsid w:val="003D0192"/>
    <w:rsid w:val="003D1844"/>
    <w:rsid w:val="003D4AF2"/>
    <w:rsid w:val="003D6632"/>
    <w:rsid w:val="003D6E69"/>
    <w:rsid w:val="003E3BBF"/>
    <w:rsid w:val="003E6FE1"/>
    <w:rsid w:val="003F3156"/>
    <w:rsid w:val="003F35D4"/>
    <w:rsid w:val="00402790"/>
    <w:rsid w:val="00405E46"/>
    <w:rsid w:val="00411C0F"/>
    <w:rsid w:val="00414CB4"/>
    <w:rsid w:val="0042143C"/>
    <w:rsid w:val="00421B29"/>
    <w:rsid w:val="00425C85"/>
    <w:rsid w:val="004265B8"/>
    <w:rsid w:val="00427391"/>
    <w:rsid w:val="004374E9"/>
    <w:rsid w:val="004416B0"/>
    <w:rsid w:val="004463EF"/>
    <w:rsid w:val="0044657E"/>
    <w:rsid w:val="00451D21"/>
    <w:rsid w:val="004549FF"/>
    <w:rsid w:val="0045620C"/>
    <w:rsid w:val="0045776F"/>
    <w:rsid w:val="004622BE"/>
    <w:rsid w:val="00470F2B"/>
    <w:rsid w:val="00471A09"/>
    <w:rsid w:val="00480157"/>
    <w:rsid w:val="00480D70"/>
    <w:rsid w:val="004811E0"/>
    <w:rsid w:val="004876CB"/>
    <w:rsid w:val="00493564"/>
    <w:rsid w:val="004A56C1"/>
    <w:rsid w:val="004A646C"/>
    <w:rsid w:val="004A6F10"/>
    <w:rsid w:val="004C4044"/>
    <w:rsid w:val="004D3065"/>
    <w:rsid w:val="004D4379"/>
    <w:rsid w:val="004D6CE5"/>
    <w:rsid w:val="004E1225"/>
    <w:rsid w:val="004E7176"/>
    <w:rsid w:val="004F35CF"/>
    <w:rsid w:val="004F4A3C"/>
    <w:rsid w:val="00501418"/>
    <w:rsid w:val="00512E9D"/>
    <w:rsid w:val="00515B67"/>
    <w:rsid w:val="00515FD4"/>
    <w:rsid w:val="00516EE5"/>
    <w:rsid w:val="00541AF7"/>
    <w:rsid w:val="00571AC0"/>
    <w:rsid w:val="00572E84"/>
    <w:rsid w:val="00583C68"/>
    <w:rsid w:val="00586354"/>
    <w:rsid w:val="00594EB2"/>
    <w:rsid w:val="00596DAC"/>
    <w:rsid w:val="005A02BB"/>
    <w:rsid w:val="005A0CCE"/>
    <w:rsid w:val="005C4B0A"/>
    <w:rsid w:val="005C751B"/>
    <w:rsid w:val="005D2254"/>
    <w:rsid w:val="005D4406"/>
    <w:rsid w:val="005D71EF"/>
    <w:rsid w:val="005E16E2"/>
    <w:rsid w:val="005E2239"/>
    <w:rsid w:val="005F1783"/>
    <w:rsid w:val="006038B3"/>
    <w:rsid w:val="00612395"/>
    <w:rsid w:val="00615359"/>
    <w:rsid w:val="00623A4C"/>
    <w:rsid w:val="00625361"/>
    <w:rsid w:val="006277C1"/>
    <w:rsid w:val="006278D0"/>
    <w:rsid w:val="0063319C"/>
    <w:rsid w:val="00641F55"/>
    <w:rsid w:val="00641FC1"/>
    <w:rsid w:val="00651837"/>
    <w:rsid w:val="00654191"/>
    <w:rsid w:val="006675B0"/>
    <w:rsid w:val="00672C1E"/>
    <w:rsid w:val="00675C72"/>
    <w:rsid w:val="00675E12"/>
    <w:rsid w:val="00687846"/>
    <w:rsid w:val="006A20FC"/>
    <w:rsid w:val="006B1849"/>
    <w:rsid w:val="006B37AA"/>
    <w:rsid w:val="006C3342"/>
    <w:rsid w:val="006C672E"/>
    <w:rsid w:val="006D677C"/>
    <w:rsid w:val="006D7233"/>
    <w:rsid w:val="006E2627"/>
    <w:rsid w:val="006E4EE1"/>
    <w:rsid w:val="006E5964"/>
    <w:rsid w:val="006E624A"/>
    <w:rsid w:val="00722D21"/>
    <w:rsid w:val="00724512"/>
    <w:rsid w:val="007318EF"/>
    <w:rsid w:val="00743D21"/>
    <w:rsid w:val="007541C3"/>
    <w:rsid w:val="007608F2"/>
    <w:rsid w:val="00772482"/>
    <w:rsid w:val="007809B2"/>
    <w:rsid w:val="007810F5"/>
    <w:rsid w:val="00783CDC"/>
    <w:rsid w:val="0078508D"/>
    <w:rsid w:val="00786DC6"/>
    <w:rsid w:val="00797E14"/>
    <w:rsid w:val="007A7210"/>
    <w:rsid w:val="007B1F52"/>
    <w:rsid w:val="007B5559"/>
    <w:rsid w:val="007C124F"/>
    <w:rsid w:val="007D16E5"/>
    <w:rsid w:val="007E0F42"/>
    <w:rsid w:val="007E14E9"/>
    <w:rsid w:val="007E1F0D"/>
    <w:rsid w:val="007E7FD0"/>
    <w:rsid w:val="007F5DE3"/>
    <w:rsid w:val="008037A5"/>
    <w:rsid w:val="00807C3E"/>
    <w:rsid w:val="008111CD"/>
    <w:rsid w:val="00814F36"/>
    <w:rsid w:val="00820C30"/>
    <w:rsid w:val="008245A1"/>
    <w:rsid w:val="00824ABD"/>
    <w:rsid w:val="00827843"/>
    <w:rsid w:val="00834B56"/>
    <w:rsid w:val="00837874"/>
    <w:rsid w:val="00855B99"/>
    <w:rsid w:val="008600AE"/>
    <w:rsid w:val="0087589A"/>
    <w:rsid w:val="00876D6C"/>
    <w:rsid w:val="00884DDC"/>
    <w:rsid w:val="00895272"/>
    <w:rsid w:val="008959E6"/>
    <w:rsid w:val="008B1336"/>
    <w:rsid w:val="008B3741"/>
    <w:rsid w:val="008C08F4"/>
    <w:rsid w:val="008C3F18"/>
    <w:rsid w:val="008C61AC"/>
    <w:rsid w:val="008D2BAE"/>
    <w:rsid w:val="008F38EA"/>
    <w:rsid w:val="008F3DD8"/>
    <w:rsid w:val="00905CB4"/>
    <w:rsid w:val="009123E7"/>
    <w:rsid w:val="00913588"/>
    <w:rsid w:val="009154DF"/>
    <w:rsid w:val="009208C5"/>
    <w:rsid w:val="00920B90"/>
    <w:rsid w:val="00934782"/>
    <w:rsid w:val="00941B1F"/>
    <w:rsid w:val="0094502F"/>
    <w:rsid w:val="009457A3"/>
    <w:rsid w:val="009509E3"/>
    <w:rsid w:val="00954317"/>
    <w:rsid w:val="00957838"/>
    <w:rsid w:val="00965BBE"/>
    <w:rsid w:val="0098210B"/>
    <w:rsid w:val="00982B2A"/>
    <w:rsid w:val="00983788"/>
    <w:rsid w:val="00990A80"/>
    <w:rsid w:val="00996E9E"/>
    <w:rsid w:val="00997B98"/>
    <w:rsid w:val="009A74D0"/>
    <w:rsid w:val="009B22B2"/>
    <w:rsid w:val="009C0067"/>
    <w:rsid w:val="009C17F0"/>
    <w:rsid w:val="009D08F8"/>
    <w:rsid w:val="009D1C14"/>
    <w:rsid w:val="009D1E57"/>
    <w:rsid w:val="009D4BF9"/>
    <w:rsid w:val="009E225D"/>
    <w:rsid w:val="009E4CBD"/>
    <w:rsid w:val="009E742D"/>
    <w:rsid w:val="009E78E6"/>
    <w:rsid w:val="009F2F58"/>
    <w:rsid w:val="009F5BB9"/>
    <w:rsid w:val="00A01772"/>
    <w:rsid w:val="00A02322"/>
    <w:rsid w:val="00A10F8D"/>
    <w:rsid w:val="00A14F21"/>
    <w:rsid w:val="00A20F9F"/>
    <w:rsid w:val="00A24AA7"/>
    <w:rsid w:val="00A25CCE"/>
    <w:rsid w:val="00A30240"/>
    <w:rsid w:val="00A316FB"/>
    <w:rsid w:val="00A34732"/>
    <w:rsid w:val="00A43356"/>
    <w:rsid w:val="00A43B6A"/>
    <w:rsid w:val="00A45DCF"/>
    <w:rsid w:val="00A47C69"/>
    <w:rsid w:val="00A66614"/>
    <w:rsid w:val="00A76D89"/>
    <w:rsid w:val="00A810A3"/>
    <w:rsid w:val="00A820D0"/>
    <w:rsid w:val="00A82328"/>
    <w:rsid w:val="00A91822"/>
    <w:rsid w:val="00A92D90"/>
    <w:rsid w:val="00A948DF"/>
    <w:rsid w:val="00AA0BC3"/>
    <w:rsid w:val="00AA46ED"/>
    <w:rsid w:val="00AA6396"/>
    <w:rsid w:val="00AB1D4D"/>
    <w:rsid w:val="00AB2939"/>
    <w:rsid w:val="00AB6BCC"/>
    <w:rsid w:val="00AC6397"/>
    <w:rsid w:val="00AD0797"/>
    <w:rsid w:val="00AD319C"/>
    <w:rsid w:val="00AE2906"/>
    <w:rsid w:val="00AE40FC"/>
    <w:rsid w:val="00AF3079"/>
    <w:rsid w:val="00AF42EB"/>
    <w:rsid w:val="00AF48D8"/>
    <w:rsid w:val="00AF630E"/>
    <w:rsid w:val="00B002EC"/>
    <w:rsid w:val="00B01975"/>
    <w:rsid w:val="00B03821"/>
    <w:rsid w:val="00B060EA"/>
    <w:rsid w:val="00B1470E"/>
    <w:rsid w:val="00B2210E"/>
    <w:rsid w:val="00B40973"/>
    <w:rsid w:val="00B42757"/>
    <w:rsid w:val="00B56264"/>
    <w:rsid w:val="00B6089D"/>
    <w:rsid w:val="00B61BC4"/>
    <w:rsid w:val="00B62C12"/>
    <w:rsid w:val="00B63B03"/>
    <w:rsid w:val="00B670A0"/>
    <w:rsid w:val="00B82B04"/>
    <w:rsid w:val="00B82D5B"/>
    <w:rsid w:val="00B85CAE"/>
    <w:rsid w:val="00B91823"/>
    <w:rsid w:val="00B9751D"/>
    <w:rsid w:val="00BA06E3"/>
    <w:rsid w:val="00BA25B0"/>
    <w:rsid w:val="00BA3098"/>
    <w:rsid w:val="00BA6A00"/>
    <w:rsid w:val="00BB04DB"/>
    <w:rsid w:val="00BC5035"/>
    <w:rsid w:val="00BC7DB9"/>
    <w:rsid w:val="00BE0A8A"/>
    <w:rsid w:val="00BE3D00"/>
    <w:rsid w:val="00BE4323"/>
    <w:rsid w:val="00BE5313"/>
    <w:rsid w:val="00BE5679"/>
    <w:rsid w:val="00BF2B4F"/>
    <w:rsid w:val="00C002F7"/>
    <w:rsid w:val="00C0486E"/>
    <w:rsid w:val="00C10DAF"/>
    <w:rsid w:val="00C12B62"/>
    <w:rsid w:val="00C26531"/>
    <w:rsid w:val="00C3297D"/>
    <w:rsid w:val="00C3747C"/>
    <w:rsid w:val="00C45487"/>
    <w:rsid w:val="00C51062"/>
    <w:rsid w:val="00C55FBF"/>
    <w:rsid w:val="00C56814"/>
    <w:rsid w:val="00C571C3"/>
    <w:rsid w:val="00C62E13"/>
    <w:rsid w:val="00C64441"/>
    <w:rsid w:val="00C6685D"/>
    <w:rsid w:val="00C7721C"/>
    <w:rsid w:val="00C85D86"/>
    <w:rsid w:val="00C9367B"/>
    <w:rsid w:val="00C94460"/>
    <w:rsid w:val="00C95EB9"/>
    <w:rsid w:val="00CA52AD"/>
    <w:rsid w:val="00CB06AC"/>
    <w:rsid w:val="00CB4A6A"/>
    <w:rsid w:val="00CB6E34"/>
    <w:rsid w:val="00CC4B83"/>
    <w:rsid w:val="00CC6800"/>
    <w:rsid w:val="00CD0DF3"/>
    <w:rsid w:val="00CD1592"/>
    <w:rsid w:val="00CD1DFD"/>
    <w:rsid w:val="00CD6C0D"/>
    <w:rsid w:val="00CD7C82"/>
    <w:rsid w:val="00CF0082"/>
    <w:rsid w:val="00D00FB1"/>
    <w:rsid w:val="00D04562"/>
    <w:rsid w:val="00D14526"/>
    <w:rsid w:val="00D20968"/>
    <w:rsid w:val="00D239B9"/>
    <w:rsid w:val="00D4351B"/>
    <w:rsid w:val="00D53248"/>
    <w:rsid w:val="00D644EE"/>
    <w:rsid w:val="00D651DA"/>
    <w:rsid w:val="00D677CE"/>
    <w:rsid w:val="00D90526"/>
    <w:rsid w:val="00D94ADD"/>
    <w:rsid w:val="00D94B59"/>
    <w:rsid w:val="00DA18F9"/>
    <w:rsid w:val="00DB1A54"/>
    <w:rsid w:val="00DB1B22"/>
    <w:rsid w:val="00DB66AF"/>
    <w:rsid w:val="00DC1EEB"/>
    <w:rsid w:val="00DC335D"/>
    <w:rsid w:val="00DE4287"/>
    <w:rsid w:val="00DE62AE"/>
    <w:rsid w:val="00DE639C"/>
    <w:rsid w:val="00E04174"/>
    <w:rsid w:val="00E121FB"/>
    <w:rsid w:val="00E14717"/>
    <w:rsid w:val="00E33BE5"/>
    <w:rsid w:val="00E3788F"/>
    <w:rsid w:val="00E42320"/>
    <w:rsid w:val="00E45077"/>
    <w:rsid w:val="00E50DC7"/>
    <w:rsid w:val="00E56444"/>
    <w:rsid w:val="00E60EF9"/>
    <w:rsid w:val="00E63D2A"/>
    <w:rsid w:val="00E735FA"/>
    <w:rsid w:val="00E74C2B"/>
    <w:rsid w:val="00E874A6"/>
    <w:rsid w:val="00E94785"/>
    <w:rsid w:val="00EA1BD9"/>
    <w:rsid w:val="00EA7D56"/>
    <w:rsid w:val="00EB1217"/>
    <w:rsid w:val="00EB223A"/>
    <w:rsid w:val="00EB3E15"/>
    <w:rsid w:val="00EB410C"/>
    <w:rsid w:val="00EC20AD"/>
    <w:rsid w:val="00EC24DF"/>
    <w:rsid w:val="00EC2D28"/>
    <w:rsid w:val="00ED2E5F"/>
    <w:rsid w:val="00EE0356"/>
    <w:rsid w:val="00EF7BF3"/>
    <w:rsid w:val="00F10E29"/>
    <w:rsid w:val="00F11350"/>
    <w:rsid w:val="00F2160D"/>
    <w:rsid w:val="00F259B5"/>
    <w:rsid w:val="00F309CE"/>
    <w:rsid w:val="00F32B29"/>
    <w:rsid w:val="00F468EF"/>
    <w:rsid w:val="00F502F7"/>
    <w:rsid w:val="00F50B11"/>
    <w:rsid w:val="00F5663B"/>
    <w:rsid w:val="00F57732"/>
    <w:rsid w:val="00F60064"/>
    <w:rsid w:val="00F66563"/>
    <w:rsid w:val="00F724D8"/>
    <w:rsid w:val="00F73E04"/>
    <w:rsid w:val="00F80FFD"/>
    <w:rsid w:val="00F83D19"/>
    <w:rsid w:val="00F85CAE"/>
    <w:rsid w:val="00F8697B"/>
    <w:rsid w:val="00F926C0"/>
    <w:rsid w:val="00F9339F"/>
    <w:rsid w:val="00F93956"/>
    <w:rsid w:val="00F96680"/>
    <w:rsid w:val="00FA56B3"/>
    <w:rsid w:val="00FB1079"/>
    <w:rsid w:val="00FB4FF2"/>
    <w:rsid w:val="00FC40A9"/>
    <w:rsid w:val="00FD1E39"/>
    <w:rsid w:val="00FD2950"/>
    <w:rsid w:val="00FD4196"/>
    <w:rsid w:val="00FD5AD2"/>
    <w:rsid w:val="00FD5E0D"/>
    <w:rsid w:val="00FE28D9"/>
    <w:rsid w:val="00FE39B0"/>
    <w:rsid w:val="00FE474B"/>
    <w:rsid w:val="00FE5026"/>
    <w:rsid w:val="00FE6DF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0C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F9"/>
  </w:style>
  <w:style w:type="paragraph" w:styleId="2">
    <w:name w:val="heading 2"/>
    <w:basedOn w:val="a"/>
    <w:next w:val="a"/>
    <w:link w:val="2Char"/>
    <w:uiPriority w:val="99"/>
    <w:qFormat/>
    <w:rsid w:val="00425C85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56"/>
      <w:szCs w:val="56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42EB"/>
  </w:style>
  <w:style w:type="paragraph" w:styleId="a4">
    <w:name w:val="footer"/>
    <w:basedOn w:val="a"/>
    <w:link w:val="Char0"/>
    <w:uiPriority w:val="99"/>
    <w:unhideWhenUsed/>
    <w:rsid w:val="00AF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42EB"/>
  </w:style>
  <w:style w:type="paragraph" w:styleId="a5">
    <w:name w:val="List Paragraph"/>
    <w:basedOn w:val="a"/>
    <w:uiPriority w:val="34"/>
    <w:qFormat/>
    <w:rsid w:val="00965BB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A288B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3A288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5FF9"/>
    <w:rPr>
      <w:b/>
      <w:bCs/>
    </w:rPr>
  </w:style>
  <w:style w:type="character" w:styleId="a8">
    <w:name w:val="Emphasis"/>
    <w:basedOn w:val="a0"/>
    <w:uiPriority w:val="20"/>
    <w:qFormat/>
    <w:rsid w:val="001A5FF9"/>
    <w:rPr>
      <w:i/>
      <w:iCs/>
    </w:rPr>
  </w:style>
  <w:style w:type="character" w:customStyle="1" w:styleId="2Char">
    <w:name w:val="عنوان 2 Char"/>
    <w:basedOn w:val="a0"/>
    <w:link w:val="2"/>
    <w:uiPriority w:val="99"/>
    <w:rsid w:val="00425C85"/>
    <w:rPr>
      <w:rFonts w:ascii="Times New Roman" w:eastAsia="Times New Roman" w:hAnsi="Times New Roman" w:cs="Times New Roman"/>
      <w:color w:val="000000"/>
      <w:sz w:val="56"/>
      <w:szCs w:val="56"/>
      <w:lang w:bidi="ar-IQ"/>
    </w:rPr>
  </w:style>
  <w:style w:type="table" w:styleId="a9">
    <w:name w:val="Table Grid"/>
    <w:basedOn w:val="a1"/>
    <w:uiPriority w:val="39"/>
    <w:rsid w:val="0042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E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E60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F9"/>
  </w:style>
  <w:style w:type="paragraph" w:styleId="2">
    <w:name w:val="heading 2"/>
    <w:basedOn w:val="a"/>
    <w:next w:val="a"/>
    <w:link w:val="2Char"/>
    <w:uiPriority w:val="99"/>
    <w:qFormat/>
    <w:rsid w:val="00425C85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56"/>
      <w:szCs w:val="56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42EB"/>
  </w:style>
  <w:style w:type="paragraph" w:styleId="a4">
    <w:name w:val="footer"/>
    <w:basedOn w:val="a"/>
    <w:link w:val="Char0"/>
    <w:uiPriority w:val="99"/>
    <w:unhideWhenUsed/>
    <w:rsid w:val="00AF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42EB"/>
  </w:style>
  <w:style w:type="paragraph" w:styleId="a5">
    <w:name w:val="List Paragraph"/>
    <w:basedOn w:val="a"/>
    <w:uiPriority w:val="34"/>
    <w:qFormat/>
    <w:rsid w:val="00965BB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A288B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3A288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5FF9"/>
    <w:rPr>
      <w:b/>
      <w:bCs/>
    </w:rPr>
  </w:style>
  <w:style w:type="character" w:styleId="a8">
    <w:name w:val="Emphasis"/>
    <w:basedOn w:val="a0"/>
    <w:uiPriority w:val="20"/>
    <w:qFormat/>
    <w:rsid w:val="001A5FF9"/>
    <w:rPr>
      <w:i/>
      <w:iCs/>
    </w:rPr>
  </w:style>
  <w:style w:type="character" w:customStyle="1" w:styleId="2Char">
    <w:name w:val="عنوان 2 Char"/>
    <w:basedOn w:val="a0"/>
    <w:link w:val="2"/>
    <w:uiPriority w:val="99"/>
    <w:rsid w:val="00425C85"/>
    <w:rPr>
      <w:rFonts w:ascii="Times New Roman" w:eastAsia="Times New Roman" w:hAnsi="Times New Roman" w:cs="Times New Roman"/>
      <w:color w:val="000000"/>
      <w:sz w:val="56"/>
      <w:szCs w:val="56"/>
      <w:lang w:bidi="ar-IQ"/>
    </w:rPr>
  </w:style>
  <w:style w:type="table" w:styleId="a9">
    <w:name w:val="Table Grid"/>
    <w:basedOn w:val="a1"/>
    <w:uiPriority w:val="39"/>
    <w:rsid w:val="0042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E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E6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4426-24E6-4405-891D-47AD79FC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odayzwain</dc:creator>
  <cp:lastModifiedBy>DR.Ahmed Saker 2O11</cp:lastModifiedBy>
  <cp:revision>3</cp:revision>
  <cp:lastPrinted>2022-11-12T08:59:00Z</cp:lastPrinted>
  <dcterms:created xsi:type="dcterms:W3CDTF">2023-08-30T21:33:00Z</dcterms:created>
  <dcterms:modified xsi:type="dcterms:W3CDTF">2023-08-30T21:47:00Z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73941c8c255cdec564755bc9d2a8f419a651dedb3ffbe9599b6a6c0e61674248</vt:lpwstr>
  </property>
</Properties>
</file>