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564jr658of0z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السابعة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الفرق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التصنيف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والتقسيم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مفهوم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التصنيف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تنظيم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الظواهر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خصائص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مشتركة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تسهيل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والتعامل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فعالية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معايير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الخصائص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الفيزيائية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الوزن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اللون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الحجم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الخصائص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الوظيفية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الغرض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الاستخدام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الخصائص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السلوكية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الأنماط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السلوكية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التصنيف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تسهيل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تنظيم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ويسهل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تيسير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الدراسة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الباحثين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دراسة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الظواهر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منهجية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تحقيق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توحيد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والمجتمعات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مفهوم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التقسيم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تفكيك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أجزاء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أصغر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التركيز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جوانب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جزء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ولكنه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يختلف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الجوانب</w:t>
      </w:r>
      <w:r w:rsidDel="00000000" w:rsidR="00000000" w:rsidRPr="00000000">
        <w:rPr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التقسيم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التركيز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التفاصيل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العلاقات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الأجزاء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تسهيل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المعالجة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يسهل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كبيرة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طريق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تجزئتها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أجزاء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أصغر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الفرق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التصنيف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والتقسيم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الرغم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والتقسيم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مترادف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الأحيان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فروقات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بينهما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الهدف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تنظيم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خصائص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مشتركة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تفكيك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أجزاء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أصغر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لتسهيل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التحليل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تفكيك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مكونات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فرعية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ينتج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مرتبة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ومنظمة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ينتج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أجزاء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صغيرة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4. </w:t>
      </w:r>
      <w:r w:rsidDel="00000000" w:rsidR="00000000" w:rsidRPr="00000000">
        <w:rPr>
          <w:sz w:val="36"/>
          <w:szCs w:val="36"/>
          <w:rtl w:val="1"/>
        </w:rPr>
        <w:t xml:space="preserve">الاستخدام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التصنيف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واسع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الطبيعية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الحية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والعلوم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الاجتماعية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التقسيم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الإحصائي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والدراسات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الاجتماعية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المجالات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