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/>
      </w:pPr>
      <w:bookmarkStart w:colFirst="0" w:colLast="0" w:name="_6bbq6k4cgxqg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الإقلاب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02">
      <w:pPr>
        <w:pStyle w:val="Title"/>
        <w:bidi w:val="1"/>
        <w:rPr>
          <w:sz w:val="36"/>
          <w:szCs w:val="36"/>
        </w:rPr>
      </w:pPr>
      <w:bookmarkStart w:colFirst="0" w:colLast="0" w:name="_vpl4uvqmo5xt" w:id="1"/>
      <w:bookmarkEnd w:id="1"/>
      <w:r w:rsidDel="00000000" w:rsidR="00000000" w:rsidRPr="00000000">
        <w:rPr>
          <w:sz w:val="36"/>
          <w:szCs w:val="36"/>
          <w:rtl w:val="0"/>
        </w:rPr>
        <w:t xml:space="preserve"> 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القلب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اللغة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تحويل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وجهه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الاصطلاح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قلب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الساكنة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التقائها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)، </w:t>
      </w:r>
      <w:r w:rsidDel="00000000" w:rsidR="00000000" w:rsidRPr="00000000">
        <w:rPr>
          <w:sz w:val="36"/>
          <w:szCs w:val="36"/>
          <w:rtl w:val="1"/>
        </w:rPr>
        <w:t xml:space="preserve">ثم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تخفى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الميم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الباء</w:t>
      </w:r>
      <w:r w:rsidDel="00000000" w:rsidR="00000000" w:rsidRPr="00000000">
        <w:rPr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pStyle w:val="Title"/>
        <w:bidi w:val="1"/>
        <w:rPr>
          <w:sz w:val="36"/>
          <w:szCs w:val="36"/>
        </w:rPr>
      </w:pPr>
      <w:bookmarkStart w:colFirst="0" w:colLast="0" w:name="_fyda3ghq98wx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كلمتين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علامة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القلب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الرسم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القرآني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</w:t>
      </w:r>
      <w:r w:rsidDel="00000000" w:rsidR="00000000" w:rsidRPr="00000000">
        <w:rPr>
          <w:b w:val="1"/>
          <w:sz w:val="36"/>
          <w:szCs w:val="36"/>
          <w:rtl w:val="1"/>
        </w:rPr>
        <w:t xml:space="preserve">ـ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الساكنة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عمودي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صغيرة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الباء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</w:t>
      </w:r>
      <w:r w:rsidDel="00000000" w:rsidR="00000000" w:rsidRPr="00000000">
        <w:rPr>
          <w:b w:val="1"/>
          <w:sz w:val="36"/>
          <w:szCs w:val="36"/>
          <w:rtl w:val="1"/>
        </w:rPr>
        <w:t xml:space="preserve">ـ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التنوين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عمودي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صغيرة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لتحل</w:t>
      </w:r>
      <w:r w:rsidDel="00000000" w:rsidR="00000000" w:rsidRPr="00000000">
        <w:rPr>
          <w:sz w:val="36"/>
          <w:szCs w:val="36"/>
          <w:rtl w:val="1"/>
        </w:rPr>
        <w:t xml:space="preserve">ّ </w:t>
      </w:r>
      <w:r w:rsidDel="00000000" w:rsidR="00000000" w:rsidRPr="00000000">
        <w:rPr>
          <w:sz w:val="36"/>
          <w:szCs w:val="36"/>
          <w:rtl w:val="1"/>
        </w:rPr>
        <w:t xml:space="preserve">محل</w:t>
      </w:r>
      <w:r w:rsidDel="00000000" w:rsidR="00000000" w:rsidRPr="00000000">
        <w:rPr>
          <w:sz w:val="36"/>
          <w:szCs w:val="36"/>
          <w:rtl w:val="1"/>
        </w:rPr>
        <w:t xml:space="preserve">ّ </w:t>
      </w:r>
      <w:r w:rsidDel="00000000" w:rsidR="00000000" w:rsidRPr="00000000">
        <w:rPr>
          <w:sz w:val="36"/>
          <w:szCs w:val="36"/>
          <w:rtl w:val="1"/>
        </w:rPr>
        <w:t xml:space="preserve">الحركة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حركتي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التنوين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الباء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الأمثلة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00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اللفظ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كلمتين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اللفظ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التنوين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اللفظ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بياء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بياء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قوما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بورا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قومم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بورا</w:t>
            </w:r>
          </w:p>
        </w:tc>
      </w:tr>
    </w:tbl>
    <w:p w:rsidR="00000000" w:rsidDel="00000000" w:rsidP="00000000" w:rsidRDefault="00000000" w:rsidRPr="00000000" w14:paraId="0000001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تمرين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إقرأ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الإقلاب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القرآنية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الآتية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تعالى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﴿</w:t>
      </w:r>
      <w:r w:rsidDel="00000000" w:rsidR="00000000" w:rsidRPr="00000000">
        <w:rPr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ِ﴾ </w:t>
      </w:r>
      <w:r w:rsidDel="00000000" w:rsidR="00000000" w:rsidRPr="00000000">
        <w:rPr>
          <w:sz w:val="36"/>
          <w:szCs w:val="36"/>
          <w:rtl w:val="1"/>
        </w:rPr>
        <w:t xml:space="preserve">سورة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البقرة</w:t>
      </w:r>
      <w:r w:rsidDel="00000000" w:rsidR="00000000" w:rsidRPr="00000000">
        <w:rPr>
          <w:sz w:val="36"/>
          <w:szCs w:val="36"/>
          <w:rtl w:val="1"/>
        </w:rPr>
        <w:t xml:space="preserve">: ٩١.</w:t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تعالى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﴿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خ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﴾ </w:t>
      </w:r>
      <w:r w:rsidDel="00000000" w:rsidR="00000000" w:rsidRPr="00000000">
        <w:rPr>
          <w:sz w:val="36"/>
          <w:szCs w:val="36"/>
          <w:rtl w:val="1"/>
        </w:rPr>
        <w:t xml:space="preserve">سورة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الليل</w:t>
      </w:r>
      <w:r w:rsidDel="00000000" w:rsidR="00000000" w:rsidRPr="00000000">
        <w:rPr>
          <w:sz w:val="36"/>
          <w:szCs w:val="36"/>
          <w:rtl w:val="1"/>
        </w:rPr>
        <w:t xml:space="preserve">: ٨.</w:t>
      </w:r>
    </w:p>
    <w:p w:rsidR="00000000" w:rsidDel="00000000" w:rsidP="00000000" w:rsidRDefault="00000000" w:rsidRPr="00000000" w14:paraId="0000001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تعالى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﴿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نف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ط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ِ) </w:t>
      </w:r>
      <w:r w:rsidDel="00000000" w:rsidR="00000000" w:rsidRPr="00000000">
        <w:rPr>
          <w:sz w:val="36"/>
          <w:szCs w:val="36"/>
          <w:rtl w:val="1"/>
        </w:rPr>
        <w:t xml:space="preserve">سورة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المزمل</w:t>
      </w:r>
      <w:r w:rsidDel="00000000" w:rsidR="00000000" w:rsidRPr="00000000">
        <w:rPr>
          <w:sz w:val="36"/>
          <w:szCs w:val="36"/>
          <w:rtl w:val="1"/>
        </w:rPr>
        <w:t xml:space="preserve">: ١٨.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تعالى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يعا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ص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ً) </w:t>
      </w:r>
      <w:r w:rsidDel="00000000" w:rsidR="00000000" w:rsidRPr="00000000">
        <w:rPr>
          <w:sz w:val="36"/>
          <w:szCs w:val="36"/>
          <w:rtl w:val="1"/>
        </w:rPr>
        <w:t xml:space="preserve">سورة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الإنسان</w:t>
      </w:r>
      <w:r w:rsidDel="00000000" w:rsidR="00000000" w:rsidRPr="00000000">
        <w:rPr>
          <w:sz w:val="36"/>
          <w:szCs w:val="36"/>
          <w:rtl w:val="1"/>
        </w:rPr>
        <w:t xml:space="preserve">: ٢.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تعالى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ز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يج</w:t>
      </w:r>
      <w:r w:rsidDel="00000000" w:rsidR="00000000" w:rsidRPr="00000000">
        <w:rPr>
          <w:b w:val="1"/>
          <w:sz w:val="36"/>
          <w:szCs w:val="36"/>
          <w:rtl w:val="1"/>
        </w:rPr>
        <w:t xml:space="preserve">ٍ)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</w:t>
      </w:r>
      <w:r w:rsidDel="00000000" w:rsidR="00000000" w:rsidRPr="00000000">
        <w:rPr>
          <w:sz w:val="36"/>
          <w:szCs w:val="36"/>
          <w:rtl w:val="1"/>
        </w:rPr>
        <w:t xml:space="preserve">: ٥.</w:t>
      </w:r>
    </w:p>
    <w:p w:rsidR="00000000" w:rsidDel="00000000" w:rsidP="00000000" w:rsidRDefault="00000000" w:rsidRPr="00000000" w14:paraId="0000001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