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E" w:rsidRDefault="0039220C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0F3FF7E3" wp14:editId="2E8AECD5">
            <wp:extent cx="5943600" cy="5943600"/>
            <wp:effectExtent l="0" t="0" r="0" b="0"/>
            <wp:docPr id="2" name="صورة 2" descr="أحكام النون الساكنة و 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أحكام النون الساكنة و التنوي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0C" w:rsidRPr="0039220C" w:rsidRDefault="0039220C" w:rsidP="0039220C">
      <w:pPr>
        <w:shd w:val="clear" w:color="auto" w:fill="F9F9FF"/>
        <w:spacing w:before="300" w:after="300" w:line="360" w:lineRule="atLeast"/>
        <w:jc w:val="right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</w:rPr>
      </w:pPr>
      <w:r w:rsidRPr="0039220C">
        <w:rPr>
          <w:rFonts w:ascii="Arial" w:eastAsia="Times New Roman" w:hAnsi="Arial" w:cs="Arial"/>
          <w:b/>
          <w:bCs/>
          <w:color w:val="222222"/>
          <w:sz w:val="45"/>
          <w:szCs w:val="45"/>
          <w:rtl/>
        </w:rPr>
        <w:t>أحكام النون الساكنة والتنوين : الإظهار، الإدغام، الإقلاب، الإخفاء</w:t>
      </w:r>
      <w:r w:rsidRPr="0039220C">
        <w:rPr>
          <w:rFonts w:ascii="Arial" w:eastAsia="Times New Roman" w:hAnsi="Arial" w:cs="Arial"/>
          <w:b/>
          <w:bCs/>
          <w:color w:val="222222"/>
          <w:sz w:val="45"/>
          <w:szCs w:val="45"/>
        </w:rPr>
        <w:t>.</w:t>
      </w:r>
    </w:p>
    <w:p w:rsidR="0039220C" w:rsidRPr="0039220C" w:rsidRDefault="0039220C" w:rsidP="0039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20C">
        <w:rPr>
          <w:rFonts w:ascii="Hesham AlSharq" w:eastAsia="Times New Roman" w:hAnsi="Hesham AlSharq" w:cs="Times New Roman"/>
          <w:color w:val="993300"/>
          <w:sz w:val="44"/>
          <w:szCs w:val="44"/>
          <w:shd w:val="clear" w:color="auto" w:fill="F9F9FF"/>
          <w:rtl/>
        </w:rPr>
        <w:t>مقدمة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نتعرض في هذا المبحث إلى أحكام النون الساكنة والتنوين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  <w:rtl/>
        </w:rPr>
        <w:lastRenderedPageBreak/>
        <w:t>النون الساكنة</w:t>
      </w:r>
      <w:r w:rsidRPr="0039220C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</w:rPr>
        <w:t>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هي النون غير المتحركة (بفتحة أو بضمة أو بكسرة) التي تثبت وصلاً ووقفاً وتكون في الأسماء, والأفعال, والحروف وفي وسط الكلمة وآخرها, مثال: ﴿وَالأَنْعَامُ﴾ - ﴿أَنْعَمَ﴾ - ﴿عَنْ﴾ و نحوها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  <w:rtl/>
        </w:rPr>
        <w:t>التنوين</w:t>
      </w:r>
      <w:r w:rsidRPr="0039220C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</w:rPr>
        <w:t>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 نون ساكنة زائدة تثبت لفظاً لا خطاً, بعد حركة الآخر, ويعبر عن التنوين بضمتين: ﴿عَلِيمٌ﴾، أو فتحتين: ﴿عَلِيمًا﴾، أو كسرتين: ﴿عَلِيمٍ﴾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وهو يثبت في آخر الاسم لفظاً في الوصل ويفارقه وقفاً. ولا يكون في الأفعال والحروف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 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  <w:rtl/>
        </w:rPr>
        <w:t>أحكام النون الساكنة والتنوين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لها أربعة أحكام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b/>
          <w:bCs/>
          <w:color w:val="E6994D"/>
          <w:sz w:val="34"/>
          <w:szCs w:val="34"/>
          <w:rtl/>
        </w:rPr>
        <w:t>الإظهار</w:t>
      </w:r>
      <w:r w:rsidRPr="0039220C">
        <w:rPr>
          <w:rFonts w:ascii="Traditional Arabic" w:eastAsia="Times New Roman" w:hAnsi="Traditional Arabic" w:cs="Traditional Arabic"/>
          <w:color w:val="E6994D"/>
          <w:sz w:val="34"/>
          <w:szCs w:val="34"/>
          <w:rtl/>
        </w:rPr>
        <w:t>،</w:t>
      </w:r>
      <w:r w:rsidRPr="0039220C">
        <w:rPr>
          <w:rFonts w:ascii="Traditional Arabic" w:eastAsia="Times New Roman" w:hAnsi="Traditional Arabic" w:cs="Traditional Arabic"/>
          <w:color w:val="E6994D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b/>
          <w:bCs/>
          <w:color w:val="E6994D"/>
          <w:sz w:val="34"/>
          <w:szCs w:val="34"/>
          <w:rtl/>
        </w:rPr>
        <w:t>الإدغام</w:t>
      </w:r>
      <w:r w:rsidRPr="0039220C">
        <w:rPr>
          <w:rFonts w:ascii="Traditional Arabic" w:eastAsia="Times New Roman" w:hAnsi="Traditional Arabic" w:cs="Traditional Arabic"/>
          <w:color w:val="E6994D"/>
          <w:sz w:val="34"/>
          <w:szCs w:val="34"/>
          <w:rtl/>
        </w:rPr>
        <w:t>،</w:t>
      </w:r>
      <w:r w:rsidRPr="0039220C">
        <w:rPr>
          <w:rFonts w:ascii="Traditional Arabic" w:eastAsia="Times New Roman" w:hAnsi="Traditional Arabic" w:cs="Traditional Arabic"/>
          <w:color w:val="E6994D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b/>
          <w:bCs/>
          <w:color w:val="E6994D"/>
          <w:sz w:val="34"/>
          <w:szCs w:val="34"/>
          <w:rtl/>
        </w:rPr>
        <w:t>الإقلاب</w:t>
      </w:r>
      <w:r w:rsidRPr="0039220C">
        <w:rPr>
          <w:rFonts w:ascii="Traditional Arabic" w:eastAsia="Times New Roman" w:hAnsi="Traditional Arabic" w:cs="Traditional Arabic"/>
          <w:color w:val="E6994D"/>
          <w:sz w:val="34"/>
          <w:szCs w:val="34"/>
          <w:rtl/>
        </w:rPr>
        <w:t>،</w:t>
      </w:r>
      <w:r w:rsidRPr="0039220C">
        <w:rPr>
          <w:rFonts w:ascii="Traditional Arabic" w:eastAsia="Times New Roman" w:hAnsi="Traditional Arabic" w:cs="Traditional Arabic"/>
          <w:color w:val="E6994D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b/>
          <w:bCs/>
          <w:color w:val="E6994D"/>
          <w:sz w:val="34"/>
          <w:szCs w:val="34"/>
          <w:rtl/>
        </w:rPr>
        <w:t>الإخفاء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وهذه الأحكام الأربعة هي صفات حرف النون العارضة التي يتصف بها حال سكونه (ويدخل في ذلك التنوين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).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1- </w:t>
      </w:r>
      <w:hyperlink r:id="rId6" w:history="1">
        <w:r w:rsidRPr="0039220C">
          <w:rPr>
            <w:rFonts w:ascii="Traditional Arabic" w:eastAsia="Times New Roman" w:hAnsi="Traditional Arabic" w:cs="Traditional Arabic"/>
            <w:b/>
            <w:bCs/>
            <w:color w:val="007BFF"/>
            <w:sz w:val="34"/>
            <w:szCs w:val="34"/>
            <w:rtl/>
          </w:rPr>
          <w:t>الإظهار</w:t>
        </w:r>
      </w:hyperlink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تعريفه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الإظهار لغة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البيان، و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اصطلاحا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النطق بالحرف من مخرجه من غير غنة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أحرفه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حروفه ستة، وهي: (الهمزة والهاء، والعين والحاء، والغين والخاء), و تسمى الحرف الحلقية (أحرف الحلق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).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مثال ذلك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منْ أحسن - ينْأون- كفواً أحد- منْ هاد - ينْهون - جرفٍ هار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2- </w:t>
      </w:r>
      <w:hyperlink r:id="rId7" w:history="1">
        <w:r w:rsidRPr="0039220C">
          <w:rPr>
            <w:rFonts w:ascii="Traditional Arabic" w:eastAsia="Times New Roman" w:hAnsi="Traditional Arabic" w:cs="Traditional Arabic"/>
            <w:b/>
            <w:bCs/>
            <w:color w:val="007BFF"/>
            <w:sz w:val="34"/>
            <w:szCs w:val="34"/>
            <w:rtl/>
          </w:rPr>
          <w:t>الإدغام</w:t>
        </w:r>
      </w:hyperlink>
      <w:r w:rsidRPr="0039220C">
        <w:rPr>
          <w:rFonts w:ascii="Traditional Arabic" w:eastAsia="Times New Roman" w:hAnsi="Traditional Arabic" w:cs="Traditional Arabic"/>
          <w:b/>
          <w:bCs/>
          <w:color w:val="222222"/>
          <w:sz w:val="34"/>
          <w:szCs w:val="34"/>
        </w:rPr>
        <w:t>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تعريفه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الإدغام لغة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إدخال الشيء في الشيء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واصطلاحا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التقاء حرف ساكن بحرف متحرك، بحيث يصيران حرفا مشددا كالثاني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أحرفه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وهي الأحرف الستة التالية: ي- ر- م- ل- و-ن. وقد جمعت في كلمة (يرملون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).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أنواعه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للإدغام نوعان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إدغام بغنة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(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إدغام ناقص)، و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إدغام بلا غنة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(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إدغام كامل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).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  </w:t>
      </w:r>
      <w:r w:rsidRPr="0039220C">
        <w:rPr>
          <w:rFonts w:ascii="Traditional Arabic" w:eastAsia="Times New Roman" w:hAnsi="Traditional Arabic" w:cs="Traditional Arabic"/>
          <w:color w:val="008000"/>
          <w:sz w:val="34"/>
          <w:szCs w:val="34"/>
          <w:rtl/>
        </w:rPr>
        <w:t>أ- الإدغام بغنة (الناقص</w:t>
      </w:r>
      <w:r w:rsidRPr="0039220C">
        <w:rPr>
          <w:rFonts w:ascii="Traditional Arabic" w:eastAsia="Times New Roman" w:hAnsi="Traditional Arabic" w:cs="Traditional Arabic"/>
          <w:color w:val="008000"/>
          <w:sz w:val="34"/>
          <w:szCs w:val="34"/>
        </w:rPr>
        <w:t>):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يكون مع أحد الأحرف التالية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ي- و-م- 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المجموعة في كلمة (يومن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)  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مثال ذلك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 xml:space="preserve">من مّاء,  وتلفظ 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ممّاء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 xml:space="preserve"> مع الغنة- من نّصيب وتلفظ (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منّصيب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) مع الغنة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lastRenderedPageBreak/>
        <w:t>  </w:t>
      </w:r>
      <w:r w:rsidRPr="0039220C">
        <w:rPr>
          <w:rFonts w:ascii="Traditional Arabic" w:eastAsia="Times New Roman" w:hAnsi="Traditional Arabic" w:cs="Traditional Arabic"/>
          <w:color w:val="008000"/>
          <w:sz w:val="34"/>
          <w:szCs w:val="34"/>
          <w:rtl/>
        </w:rPr>
        <w:t>ب- الإدغام بلا غنة (الكامل</w:t>
      </w:r>
      <w:r w:rsidRPr="0039220C">
        <w:rPr>
          <w:rFonts w:ascii="Traditional Arabic" w:eastAsia="Times New Roman" w:hAnsi="Traditional Arabic" w:cs="Traditional Arabic"/>
          <w:color w:val="008000"/>
          <w:sz w:val="34"/>
          <w:szCs w:val="34"/>
        </w:rPr>
        <w:t>):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يكون مع أحد الحرفين التاليين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ل- ر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 . 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مثال ذلك</w:t>
      </w: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</w:rPr>
        <w:t>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من لّدنه: تلفظ: (ملّدنه) - من رّزق: تلفظ (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مرّزق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) 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3- </w:t>
      </w:r>
      <w:hyperlink r:id="rId8" w:history="1">
        <w:r w:rsidRPr="0039220C">
          <w:rPr>
            <w:rFonts w:ascii="Traditional Arabic" w:eastAsia="Times New Roman" w:hAnsi="Traditional Arabic" w:cs="Traditional Arabic"/>
            <w:b/>
            <w:bCs/>
            <w:color w:val="007BFF"/>
            <w:sz w:val="34"/>
            <w:szCs w:val="34"/>
            <w:rtl/>
          </w:rPr>
          <w:t>الإقلاب</w:t>
        </w:r>
      </w:hyperlink>
      <w:r w:rsidRPr="0039220C">
        <w:rPr>
          <w:rFonts w:ascii="Traditional Arabic" w:eastAsia="Times New Roman" w:hAnsi="Traditional Arabic" w:cs="Traditional Arabic"/>
          <w:b/>
          <w:bCs/>
          <w:color w:val="222222"/>
          <w:sz w:val="34"/>
          <w:szCs w:val="34"/>
        </w:rPr>
        <w:t>: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لغة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تحويل الشيء عن وجهه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,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واصطلاحا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، هو: قلب النون الساكنة أو التنوين ميما، مع مراعاة الغنة، وله حرف واحد هو الباء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مثال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ينبت لكم: تلفظ (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يمبت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 xml:space="preserve"> لكم) مع الغنة- سميعٌ بصير: تلفظ (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سميعمبصير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) مع الغنة. من بعد: تلفظ (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ممبعد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) مع الغنة- بغيا بينهم: تلفظ: (</w:t>
      </w:r>
      <w:proofErr w:type="spellStart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بغيمبينهم</w:t>
      </w:r>
      <w:proofErr w:type="spellEnd"/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) مع الغنة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4- </w:t>
      </w:r>
      <w:hyperlink r:id="rId9" w:history="1">
        <w:r w:rsidRPr="0039220C">
          <w:rPr>
            <w:rFonts w:ascii="Traditional Arabic" w:eastAsia="Times New Roman" w:hAnsi="Traditional Arabic" w:cs="Traditional Arabic"/>
            <w:b/>
            <w:bCs/>
            <w:color w:val="007BFF"/>
            <w:sz w:val="34"/>
            <w:szCs w:val="34"/>
            <w:rtl/>
          </w:rPr>
          <w:t>الإخفاء</w:t>
        </w:r>
      </w:hyperlink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تعريفه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الإخفاء لغة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الستر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, 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واصطلاحا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</w:rPr>
        <w:t>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هو: النطق بحرف ساكن، غير مشدد، على صفة بين الإظهار والإدغام، مع بقاء الغنة في الحرف الأول (النون الساكنة أو التنوين)، ويغن هذا الحرف بمقدار حركتين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أحرفه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 xml:space="preserve">: 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يقع الإخفاء على النون الساكنة أو التنوين، إذا أتى بعده حرف من الأحرف التي تسمى أحرف الإخفاء الخمسة عشر التالية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: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  <w:rtl/>
        </w:rPr>
        <w:t>ص- ذ- ث- ج- ش- ق- س- ك- ض- ظ- ز- ت- د- ط- ف</w:t>
      </w:r>
      <w:r w:rsidRPr="0039220C">
        <w:rPr>
          <w:rFonts w:ascii="Traditional Arabic" w:eastAsia="Times New Roman" w:hAnsi="Traditional Arabic" w:cs="Traditional Arabic"/>
          <w:color w:val="0000FF"/>
          <w:sz w:val="34"/>
          <w:szCs w:val="34"/>
        </w:rPr>
        <w:t>.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وقد جمعت هذه الأحرف في أوائل كلمات البيت التال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008000"/>
          <w:sz w:val="34"/>
          <w:szCs w:val="34"/>
          <w:rtl/>
        </w:rPr>
        <w:t>صف ذا ثنا جود شخص قد سما كرما ... ضع ظالما زد تقى دم طالبا فترى</w:t>
      </w:r>
    </w:p>
    <w:p w:rsidR="0039220C" w:rsidRPr="0039220C" w:rsidRDefault="0039220C" w:rsidP="0039220C">
      <w:pPr>
        <w:shd w:val="clear" w:color="auto" w:fill="F9F9FF"/>
        <w:spacing w:after="100" w:afterAutospacing="1" w:line="240" w:lineRule="auto"/>
        <w:jc w:val="right"/>
        <w:rPr>
          <w:rFonts w:ascii="Traditional Arabic" w:eastAsia="Times New Roman" w:hAnsi="Traditional Arabic" w:cs="Traditional Arabic"/>
          <w:color w:val="222222"/>
          <w:sz w:val="34"/>
          <w:szCs w:val="34"/>
        </w:rPr>
      </w:pP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  <w:rtl/>
        </w:rPr>
        <w:t>مثال ذلك</w:t>
      </w:r>
      <w:r w:rsidRPr="0039220C">
        <w:rPr>
          <w:rFonts w:ascii="Traditional Arabic" w:eastAsia="Times New Roman" w:hAnsi="Traditional Arabic" w:cs="Traditional Arabic"/>
          <w:color w:val="FF0000"/>
          <w:sz w:val="34"/>
          <w:szCs w:val="34"/>
        </w:rPr>
        <w:t>: 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  <w:rtl/>
        </w:rPr>
        <w:t>عن صلاتهم- وانصرنا- ريحاً صرصرا- من ذهب- وأنذرهم- ظلٍ ذي</w:t>
      </w:r>
      <w:r w:rsidRPr="0039220C">
        <w:rPr>
          <w:rFonts w:ascii="Traditional Arabic" w:eastAsia="Times New Roman" w:hAnsi="Traditional Arabic" w:cs="Traditional Arabic"/>
          <w:color w:val="222222"/>
          <w:sz w:val="34"/>
          <w:szCs w:val="34"/>
        </w:rPr>
        <w:t>.</w:t>
      </w:r>
    </w:p>
    <w:p w:rsidR="0039220C" w:rsidRDefault="0039220C">
      <w:bookmarkStart w:id="0" w:name="_GoBack"/>
      <w:bookmarkEnd w:id="0"/>
    </w:p>
    <w:sectPr w:rsidR="00392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AlSharq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0C"/>
    <w:rsid w:val="0039220C"/>
    <w:rsid w:val="008712DA"/>
    <w:rsid w:val="009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195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8448">
                          <w:marLeft w:val="0"/>
                          <w:marRight w:val="18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AECF0"/>
                            <w:right w:val="none" w:sz="0" w:space="0" w:color="auto"/>
                          </w:divBdr>
                        </w:div>
                        <w:div w:id="11301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97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8776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648693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0816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6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63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4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2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EAECF0"/>
                                <w:right w:val="none" w:sz="0" w:space="0" w:color="auto"/>
                              </w:divBdr>
                              <w:divsChild>
                                <w:div w:id="7500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260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AECF0"/>
                                    <w:right w:val="none" w:sz="0" w:space="0" w:color="auto"/>
                                  </w:divBdr>
                                </w:div>
                                <w:div w:id="12965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530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03224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5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058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AECF0"/>
                                    <w:right w:val="none" w:sz="0" w:space="0" w:color="auto"/>
                                  </w:divBdr>
                                </w:div>
                                <w:div w:id="14119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838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44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9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384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AECF0"/>
                                    <w:right w:val="none" w:sz="0" w:space="0" w:color="auto"/>
                                  </w:divBdr>
                                </w:div>
                                <w:div w:id="14462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9717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29199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0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5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A2A9B1"/>
                            <w:right w:val="none" w:sz="0" w:space="0" w:color="auto"/>
                          </w:divBdr>
                        </w:div>
                        <w:div w:id="14211717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A2A9B1"/>
                            <w:right w:val="none" w:sz="0" w:space="0" w:color="auto"/>
                          </w:divBdr>
                        </w:div>
                        <w:div w:id="3219356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A2A9B1"/>
                            <w:right w:val="none" w:sz="0" w:space="0" w:color="auto"/>
                          </w:divBdr>
                        </w:div>
                        <w:div w:id="3503768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A2A9B1"/>
                            <w:right w:val="none" w:sz="0" w:space="0" w:color="auto"/>
                          </w:divBdr>
                        </w:div>
                        <w:div w:id="16465489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A2A9B1"/>
                            <w:right w:val="none" w:sz="0" w:space="0" w:color="auto"/>
                          </w:divBdr>
                        </w:div>
                        <w:div w:id="112716789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ahquran.com/Tajweed/iqlaa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ahquran.com/Tajweed/idgaam-no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rahquran.com/Tajweed/idhar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rahquran.com/Tajweed/ikhfaa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1</cp:revision>
  <dcterms:created xsi:type="dcterms:W3CDTF">2025-06-10T17:53:00Z</dcterms:created>
  <dcterms:modified xsi:type="dcterms:W3CDTF">2025-06-10T17:58:00Z</dcterms:modified>
</cp:coreProperties>
</file>